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B4F9" w14:textId="1BDD9673" w:rsidR="001C2B69" w:rsidRPr="001C2B69" w:rsidRDefault="001C2B69" w:rsidP="00A96425">
      <w:pPr>
        <w:rPr>
          <w:rFonts w:ascii="Verdana" w:hAnsi="Verdana"/>
          <w:b/>
          <w:sz w:val="32"/>
          <w:szCs w:val="32"/>
        </w:rPr>
      </w:pPr>
      <w:r w:rsidRPr="001C2B69">
        <w:rPr>
          <w:rFonts w:ascii="Verdana" w:hAnsi="Verdana"/>
          <w:b/>
          <w:sz w:val="32"/>
          <w:szCs w:val="32"/>
        </w:rPr>
        <w:t xml:space="preserve">Koper heeft </w:t>
      </w:r>
      <w:proofErr w:type="spellStart"/>
      <w:r w:rsidRPr="001C2B69">
        <w:rPr>
          <w:rFonts w:ascii="Verdana" w:hAnsi="Verdana"/>
          <w:b/>
          <w:sz w:val="32"/>
          <w:szCs w:val="32"/>
        </w:rPr>
        <w:t>onderzoeksplicht</w:t>
      </w:r>
      <w:proofErr w:type="spellEnd"/>
      <w:r w:rsidRPr="001C2B69">
        <w:rPr>
          <w:rFonts w:ascii="Verdana" w:hAnsi="Verdana"/>
          <w:b/>
          <w:sz w:val="32"/>
          <w:szCs w:val="32"/>
        </w:rPr>
        <w:t xml:space="preserve"> bij aanschaf woning</w:t>
      </w:r>
    </w:p>
    <w:p w14:paraId="21D10D80" w14:textId="77777777" w:rsidR="001C2B69" w:rsidRPr="001C2B69" w:rsidRDefault="001C2B69" w:rsidP="00A96425">
      <w:pPr>
        <w:rPr>
          <w:rFonts w:ascii="Verdana" w:hAnsi="Verdana"/>
          <w:b/>
          <w:sz w:val="20"/>
          <w:szCs w:val="20"/>
        </w:rPr>
      </w:pPr>
    </w:p>
    <w:p w14:paraId="2B947D1B" w14:textId="5EE567EE" w:rsidR="00A96425" w:rsidRPr="001C2B69" w:rsidRDefault="00A96425" w:rsidP="00A96425">
      <w:pPr>
        <w:rPr>
          <w:rFonts w:ascii="Verdana" w:hAnsi="Verdana"/>
          <w:b/>
          <w:sz w:val="20"/>
          <w:szCs w:val="20"/>
        </w:rPr>
      </w:pPr>
      <w:r w:rsidRPr="001C2B69">
        <w:rPr>
          <w:rFonts w:ascii="Verdana" w:hAnsi="Verdana"/>
          <w:b/>
          <w:sz w:val="20"/>
          <w:szCs w:val="20"/>
        </w:rPr>
        <w:t>Wie een huis gaat kopen, wil natuurlijk geen 'kat in de zak' aantreffen. Een bezichtiging is veel meer dan 'even kijken' in een leuk huis. Zeker bij een tweede bezichtiging is het goed opletten. Zowel de koper als de verkoper hebben plichten tegenover elkaar.</w:t>
      </w:r>
      <w:r w:rsidRPr="001C2B69">
        <w:rPr>
          <w:rFonts w:ascii="Verdana" w:hAnsi="Verdana"/>
          <w:b/>
          <w:sz w:val="20"/>
          <w:szCs w:val="20"/>
        </w:rPr>
        <w:br/>
      </w:r>
    </w:p>
    <w:p w14:paraId="7A904341" w14:textId="77777777" w:rsidR="00A96425" w:rsidRPr="001C2B69" w:rsidRDefault="00A96425" w:rsidP="00A96425">
      <w:pPr>
        <w:rPr>
          <w:rFonts w:ascii="Verdana" w:hAnsi="Verdana"/>
          <w:sz w:val="20"/>
          <w:szCs w:val="20"/>
        </w:rPr>
      </w:pPr>
      <w:r w:rsidRPr="001C2B69">
        <w:rPr>
          <w:rFonts w:ascii="Verdana" w:hAnsi="Verdana"/>
          <w:sz w:val="20"/>
          <w:szCs w:val="20"/>
        </w:rPr>
        <w:t xml:space="preserve">De verkoper is verplicht de koper te informeren over zaken die van belang kunnen zijn. Ernstige of onverwachte gebreken, zoals een lekkage, behoren daartoe. Dit geldt niet voor gebreken die zichtbaar zijn voor de koper. Van de koper wordt verwacht dat hij/zij de staat van de woning onderzoekt. Bijvoorbeeld als het gaat om kozijnen die zichtbaar verrot zijn, of scheuren in muren. De verkoper hoeft de koper daar niet uitdrukkelijk op te wijzen. </w:t>
      </w:r>
    </w:p>
    <w:p w14:paraId="0B711BA3" w14:textId="391430AB" w:rsidR="00A96425" w:rsidRPr="001C2B69" w:rsidRDefault="00A96425" w:rsidP="00A96425">
      <w:pPr>
        <w:rPr>
          <w:rFonts w:ascii="Verdana" w:hAnsi="Verdana"/>
          <w:sz w:val="20"/>
          <w:szCs w:val="20"/>
        </w:rPr>
      </w:pPr>
      <w:r w:rsidRPr="001C2B69">
        <w:rPr>
          <w:rFonts w:ascii="Verdana" w:hAnsi="Verdana"/>
          <w:sz w:val="20"/>
          <w:szCs w:val="20"/>
        </w:rPr>
        <w:t xml:space="preserve">Gebreken die bij de bezichtiging ontdekt kunnen worden, kunnen later niet als verborgen gebrek worden benoemd en komen voor rekening van de koper. De </w:t>
      </w:r>
      <w:proofErr w:type="spellStart"/>
      <w:r w:rsidRPr="001C2B69">
        <w:rPr>
          <w:rFonts w:ascii="Verdana" w:hAnsi="Verdana"/>
          <w:sz w:val="20"/>
          <w:szCs w:val="20"/>
        </w:rPr>
        <w:t>onderzoeksplicht</w:t>
      </w:r>
      <w:proofErr w:type="spellEnd"/>
      <w:r w:rsidRPr="001C2B69">
        <w:rPr>
          <w:rFonts w:ascii="Verdana" w:hAnsi="Verdana"/>
          <w:sz w:val="20"/>
          <w:szCs w:val="20"/>
        </w:rPr>
        <w:t xml:space="preserve"> geldt ook voor juridische aspecten. Een goed voorbeeld daarvan zijn erfdienstbaarheden, zoals een recht van overpad.</w:t>
      </w:r>
      <w:r w:rsidRPr="001C2B69">
        <w:rPr>
          <w:rFonts w:ascii="Verdana" w:hAnsi="Verdana"/>
          <w:sz w:val="20"/>
          <w:szCs w:val="20"/>
        </w:rPr>
        <w:br/>
      </w:r>
      <w:r w:rsidRPr="001C2B69">
        <w:rPr>
          <w:rFonts w:ascii="Verdana" w:hAnsi="Verdana"/>
          <w:sz w:val="20"/>
          <w:szCs w:val="20"/>
        </w:rPr>
        <w:br/>
      </w:r>
      <w:r w:rsidRPr="001C2B69">
        <w:rPr>
          <w:rFonts w:ascii="Verdana" w:hAnsi="Verdana"/>
          <w:b/>
          <w:sz w:val="20"/>
          <w:szCs w:val="20"/>
        </w:rPr>
        <w:t>Ontzorgen</w:t>
      </w:r>
      <w:r w:rsidRPr="001C2B69">
        <w:rPr>
          <w:rFonts w:ascii="Verdana" w:hAnsi="Verdana"/>
          <w:sz w:val="20"/>
          <w:szCs w:val="20"/>
        </w:rPr>
        <w:br/>
        <w:t xml:space="preserve">Bij het kopen van een huis moet er veel gebeuren in korte tijd. Een </w:t>
      </w:r>
      <w:r w:rsidR="001C2B69">
        <w:rPr>
          <w:rFonts w:ascii="Verdana" w:hAnsi="Verdana"/>
          <w:sz w:val="20"/>
          <w:szCs w:val="20"/>
        </w:rPr>
        <w:t xml:space="preserve">aankoopmakelaar van de NVM </w:t>
      </w:r>
      <w:r w:rsidRPr="001C2B69">
        <w:rPr>
          <w:rFonts w:ascii="Verdana" w:hAnsi="Verdana"/>
          <w:sz w:val="20"/>
          <w:szCs w:val="20"/>
        </w:rPr>
        <w:t xml:space="preserve">kan u </w:t>
      </w:r>
      <w:r w:rsidR="001C2B69">
        <w:rPr>
          <w:rFonts w:ascii="Verdana" w:hAnsi="Verdana"/>
          <w:sz w:val="20"/>
          <w:szCs w:val="20"/>
        </w:rPr>
        <w:t>daarbij helpen</w:t>
      </w:r>
      <w:r w:rsidRPr="001C2B69">
        <w:rPr>
          <w:rFonts w:ascii="Verdana" w:hAnsi="Verdana"/>
          <w:sz w:val="20"/>
          <w:szCs w:val="20"/>
        </w:rPr>
        <w:t>. Hij</w:t>
      </w:r>
      <w:r w:rsidR="001C2B69">
        <w:rPr>
          <w:rFonts w:ascii="Verdana" w:hAnsi="Verdana"/>
          <w:sz w:val="20"/>
          <w:szCs w:val="20"/>
        </w:rPr>
        <w:t xml:space="preserve"> of zij</w:t>
      </w:r>
      <w:bookmarkStart w:id="0" w:name="_GoBack"/>
      <w:bookmarkEnd w:id="0"/>
      <w:r w:rsidRPr="001C2B69">
        <w:rPr>
          <w:rFonts w:ascii="Verdana" w:hAnsi="Verdana"/>
          <w:sz w:val="20"/>
          <w:szCs w:val="20"/>
        </w:rPr>
        <w:t xml:space="preserve"> kijkt naar onder andere het onderhoud, de aanwezigheid van eventuele gebreken en naar noodzakelijke reparaties. Daarnaast kan de NVM-aankoopmakelaar onderzoek doen naar bestemmingsplannen, milieuaspecten, relevante gegevens in het Kadaster, status en verplichtingen van de Vereniging van Eigenaren. </w:t>
      </w:r>
      <w:r w:rsidRPr="001C2B69">
        <w:rPr>
          <w:rFonts w:ascii="Verdana" w:hAnsi="Verdana"/>
          <w:sz w:val="20"/>
          <w:szCs w:val="20"/>
        </w:rPr>
        <w:br/>
      </w:r>
      <w:r w:rsidRPr="001C2B69">
        <w:rPr>
          <w:rFonts w:ascii="Verdana" w:hAnsi="Verdana"/>
          <w:sz w:val="20"/>
          <w:szCs w:val="20"/>
        </w:rPr>
        <w:br/>
      </w:r>
    </w:p>
    <w:p w14:paraId="0D3DFBFB" w14:textId="77777777" w:rsidR="009D67F8" w:rsidRPr="00A96425" w:rsidRDefault="009D67F8" w:rsidP="00A96425"/>
    <w:sectPr w:rsidR="009D67F8" w:rsidRPr="00A96425"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31518" w14:textId="77777777" w:rsidR="00FD6FFA" w:rsidRDefault="00FD6FFA" w:rsidP="00467346">
      <w:r>
        <w:separator/>
      </w:r>
    </w:p>
  </w:endnote>
  <w:endnote w:type="continuationSeparator" w:id="0">
    <w:p w14:paraId="16A20FC0" w14:textId="77777777" w:rsidR="00FD6FFA" w:rsidRDefault="00FD6FFA"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5FFA" w14:textId="77777777" w:rsidR="00467346" w:rsidRDefault="00D27C7A" w:rsidP="00467346">
    <w:pPr>
      <w:pStyle w:val="Voettekst"/>
      <w:ind w:left="-1644"/>
    </w:pPr>
    <w:r>
      <w:rPr>
        <w:noProof/>
      </w:rPr>
      <w:drawing>
        <wp:inline distT="0" distB="0" distL="0" distR="0" wp14:anchorId="5FC4FB7F" wp14:editId="22F1238F">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6EF33" w14:textId="77777777" w:rsidR="00FD6FFA" w:rsidRDefault="00FD6FFA" w:rsidP="00467346">
      <w:r>
        <w:separator/>
      </w:r>
    </w:p>
  </w:footnote>
  <w:footnote w:type="continuationSeparator" w:id="0">
    <w:p w14:paraId="719171C9" w14:textId="77777777" w:rsidR="00FD6FFA" w:rsidRDefault="00FD6FFA"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94B5" w14:textId="77777777" w:rsidR="00467346" w:rsidRDefault="00D27C7A" w:rsidP="00467346">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14:anchorId="127C8E49" wp14:editId="4F6B3B0B">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A96425" w:rsidRPr="00A96425">
      <w:rPr>
        <w:rFonts w:ascii="Arial" w:hAnsi="Arial" w:cs="Arial"/>
        <w:b/>
        <w:noProof/>
        <w:color w:val="548DD4"/>
        <w:sz w:val="44"/>
        <w:szCs w:val="44"/>
      </w:rPr>
      <w:t xml:space="preserve">Koper heeft onderzoeksplicht bij </w:t>
    </w:r>
    <w:r w:rsidR="00A96425">
      <w:rPr>
        <w:rFonts w:ascii="Arial" w:hAnsi="Arial" w:cs="Arial"/>
        <w:b/>
        <w:noProof/>
        <w:color w:val="548DD4"/>
        <w:sz w:val="44"/>
        <w:szCs w:val="44"/>
      </w:rPr>
      <w:br/>
    </w:r>
    <w:r w:rsidR="00A96425" w:rsidRPr="00A96425">
      <w:rPr>
        <w:rFonts w:ascii="Arial" w:hAnsi="Arial" w:cs="Arial"/>
        <w:b/>
        <w:noProof/>
        <w:color w:val="548DD4"/>
        <w:sz w:val="44"/>
        <w:szCs w:val="44"/>
      </w:rPr>
      <w:t>aanschaf woning</w:t>
    </w:r>
  </w:p>
  <w:p w14:paraId="4B8ED45F" w14:textId="77777777"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80"/>
    <w:rsid w:val="00084AD0"/>
    <w:rsid w:val="0009689E"/>
    <w:rsid w:val="000A123E"/>
    <w:rsid w:val="000A5F17"/>
    <w:rsid w:val="000D278C"/>
    <w:rsid w:val="00132C35"/>
    <w:rsid w:val="00160913"/>
    <w:rsid w:val="001C2B69"/>
    <w:rsid w:val="0022277B"/>
    <w:rsid w:val="00331A60"/>
    <w:rsid w:val="003328AE"/>
    <w:rsid w:val="00344A26"/>
    <w:rsid w:val="00363C98"/>
    <w:rsid w:val="00404B33"/>
    <w:rsid w:val="00445C0C"/>
    <w:rsid w:val="00452417"/>
    <w:rsid w:val="004533E4"/>
    <w:rsid w:val="0046241D"/>
    <w:rsid w:val="00467346"/>
    <w:rsid w:val="0052321F"/>
    <w:rsid w:val="00570C79"/>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2992"/>
    <w:rsid w:val="009C3FF9"/>
    <w:rsid w:val="009D67F8"/>
    <w:rsid w:val="00A4448B"/>
    <w:rsid w:val="00A51D2D"/>
    <w:rsid w:val="00A96425"/>
    <w:rsid w:val="00AA3BF8"/>
    <w:rsid w:val="00AB2280"/>
    <w:rsid w:val="00B31526"/>
    <w:rsid w:val="00B32C57"/>
    <w:rsid w:val="00B607A7"/>
    <w:rsid w:val="00B90341"/>
    <w:rsid w:val="00B909B6"/>
    <w:rsid w:val="00B95AC4"/>
    <w:rsid w:val="00BA698F"/>
    <w:rsid w:val="00BD11F7"/>
    <w:rsid w:val="00BF01B6"/>
    <w:rsid w:val="00C00CDC"/>
    <w:rsid w:val="00C21DB4"/>
    <w:rsid w:val="00C23E6F"/>
    <w:rsid w:val="00C27A48"/>
    <w:rsid w:val="00C30BD3"/>
    <w:rsid w:val="00C724E8"/>
    <w:rsid w:val="00C81B4C"/>
    <w:rsid w:val="00C92739"/>
    <w:rsid w:val="00CA22D4"/>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 w:val="00FD6F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0080D"/>
  <w15:docId w15:val="{D09E3367-0069-4DF3-8FF2-22CC4CF4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character" w:styleId="Hyperlink">
    <w:name w:val="Hyperlink"/>
    <w:basedOn w:val="Standaardalinea-lettertype"/>
    <w:uiPriority w:val="99"/>
    <w:unhideWhenUsed/>
    <w:rsid w:val="00A96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8619">
      <w:bodyDiv w:val="1"/>
      <w:marLeft w:val="0"/>
      <w:marRight w:val="0"/>
      <w:marTop w:val="0"/>
      <w:marBottom w:val="0"/>
      <w:divBdr>
        <w:top w:val="none" w:sz="0" w:space="0" w:color="auto"/>
        <w:left w:val="none" w:sz="0" w:space="0" w:color="auto"/>
        <w:bottom w:val="none" w:sz="0" w:space="0" w:color="auto"/>
        <w:right w:val="none" w:sz="0" w:space="0" w:color="auto"/>
      </w:divBdr>
    </w:div>
    <w:div w:id="1183784485">
      <w:bodyDiv w:val="1"/>
      <w:marLeft w:val="0"/>
      <w:marRight w:val="0"/>
      <w:marTop w:val="0"/>
      <w:marBottom w:val="0"/>
      <w:divBdr>
        <w:top w:val="none" w:sz="0" w:space="0" w:color="auto"/>
        <w:left w:val="none" w:sz="0" w:space="0" w:color="auto"/>
        <w:bottom w:val="none" w:sz="0" w:space="0" w:color="auto"/>
        <w:right w:val="none" w:sz="0" w:space="0" w:color="auto"/>
      </w:divBdr>
    </w:div>
    <w:div w:id="1511797381">
      <w:bodyDiv w:val="1"/>
      <w:marLeft w:val="0"/>
      <w:marRight w:val="0"/>
      <w:marTop w:val="0"/>
      <w:marBottom w:val="0"/>
      <w:divBdr>
        <w:top w:val="none" w:sz="0" w:space="0" w:color="auto"/>
        <w:left w:val="none" w:sz="0" w:space="0" w:color="auto"/>
        <w:bottom w:val="none" w:sz="0" w:space="0" w:color="auto"/>
        <w:right w:val="none" w:sz="0" w:space="0" w:color="auto"/>
      </w:divBdr>
    </w:div>
    <w:div w:id="19507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224F-B9B7-4BD6-BE1B-3572F361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1483</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Sander</cp:lastModifiedBy>
  <cp:revision>4</cp:revision>
  <dcterms:created xsi:type="dcterms:W3CDTF">2018-03-15T17:28:00Z</dcterms:created>
  <dcterms:modified xsi:type="dcterms:W3CDTF">2018-03-20T18:09:00Z</dcterms:modified>
</cp:coreProperties>
</file>