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C1DA9" w14:textId="0278BB44" w:rsidR="00F628BC" w:rsidRPr="00F628BC" w:rsidRDefault="00F628BC" w:rsidP="0097546B">
      <w:pPr>
        <w:rPr>
          <w:rFonts w:ascii="Verdana" w:hAnsi="Verdana"/>
          <w:b/>
          <w:sz w:val="32"/>
          <w:szCs w:val="32"/>
        </w:rPr>
      </w:pPr>
      <w:r w:rsidRPr="00F628BC">
        <w:rPr>
          <w:rFonts w:ascii="Verdana" w:hAnsi="Verdana"/>
          <w:b/>
          <w:sz w:val="32"/>
          <w:szCs w:val="32"/>
        </w:rPr>
        <w:t>Koopakte legt afspraken koper en verkoper vast</w:t>
      </w:r>
    </w:p>
    <w:p w14:paraId="50D1A0BD" w14:textId="77777777" w:rsidR="00F628BC" w:rsidRPr="00F628BC" w:rsidRDefault="00F628BC" w:rsidP="0097546B">
      <w:pPr>
        <w:rPr>
          <w:rFonts w:ascii="Verdana" w:hAnsi="Verdana"/>
          <w:b/>
          <w:sz w:val="20"/>
          <w:szCs w:val="20"/>
        </w:rPr>
      </w:pPr>
    </w:p>
    <w:p w14:paraId="4692309F" w14:textId="729BFE41" w:rsidR="0097546B" w:rsidRPr="00F628BC" w:rsidRDefault="0097546B" w:rsidP="0097546B">
      <w:pPr>
        <w:rPr>
          <w:rFonts w:ascii="Verdana" w:hAnsi="Verdana"/>
          <w:b/>
          <w:sz w:val="20"/>
          <w:szCs w:val="20"/>
        </w:rPr>
      </w:pPr>
      <w:r w:rsidRPr="00F628BC">
        <w:rPr>
          <w:rFonts w:ascii="Verdana" w:hAnsi="Verdana"/>
          <w:b/>
          <w:sz w:val="20"/>
          <w:szCs w:val="20"/>
        </w:rPr>
        <w:t xml:space="preserve">In de koopakte leggen de verkoper en de koper afspraken </w:t>
      </w:r>
      <w:r w:rsidR="00F628BC">
        <w:rPr>
          <w:rFonts w:ascii="Verdana" w:hAnsi="Verdana"/>
          <w:b/>
          <w:sz w:val="20"/>
          <w:szCs w:val="20"/>
        </w:rPr>
        <w:t xml:space="preserve">vast </w:t>
      </w:r>
      <w:r w:rsidRPr="00F628BC">
        <w:rPr>
          <w:rFonts w:ascii="Verdana" w:hAnsi="Verdana"/>
          <w:b/>
          <w:sz w:val="20"/>
          <w:szCs w:val="20"/>
        </w:rPr>
        <w:t xml:space="preserve">over het kopen van de woning. Daarbij gaat het om de prijs van de woning, de </w:t>
      </w:r>
      <w:r w:rsidR="00F628BC">
        <w:rPr>
          <w:rFonts w:ascii="Verdana" w:hAnsi="Verdana"/>
          <w:b/>
          <w:sz w:val="20"/>
          <w:szCs w:val="20"/>
        </w:rPr>
        <w:t>op</w:t>
      </w:r>
      <w:r w:rsidRPr="00F628BC">
        <w:rPr>
          <w:rFonts w:ascii="Verdana" w:hAnsi="Verdana"/>
          <w:b/>
          <w:sz w:val="20"/>
          <w:szCs w:val="20"/>
        </w:rPr>
        <w:t>leverdatum en de eventuele ontbindende voorwaarden. De koopakte wordt meestal door de NVM-verkoopmakelaar opgesteld en door de NVM-aankoopmakelaar gecontroleerd. In Amsterdam stelt de notaris meestal de koopakte op. </w:t>
      </w:r>
    </w:p>
    <w:p w14:paraId="71601B5A" w14:textId="77777777" w:rsidR="0097546B" w:rsidRPr="00F628BC" w:rsidRDefault="0097546B" w:rsidP="0097546B">
      <w:pPr>
        <w:rPr>
          <w:rFonts w:ascii="Verdana" w:hAnsi="Verdana"/>
          <w:sz w:val="20"/>
          <w:szCs w:val="20"/>
        </w:rPr>
      </w:pPr>
    </w:p>
    <w:p w14:paraId="0F063280" w14:textId="544DE047" w:rsidR="0097546B" w:rsidRPr="00F628BC" w:rsidRDefault="0097546B" w:rsidP="0097546B">
      <w:pPr>
        <w:rPr>
          <w:rFonts w:ascii="Verdana" w:hAnsi="Verdana"/>
          <w:sz w:val="20"/>
          <w:szCs w:val="20"/>
        </w:rPr>
      </w:pPr>
      <w:r w:rsidRPr="00F628BC">
        <w:rPr>
          <w:rFonts w:ascii="Verdana" w:hAnsi="Verdana"/>
          <w:sz w:val="20"/>
          <w:szCs w:val="20"/>
        </w:rPr>
        <w:t xml:space="preserve">De koopakte wordt vaak ook voorlopige koopovereenkomst genoemd. Er kunnen namelijk ontbindende voorwaarden in staan. De bekendste zijn die van het verkrijgen van de financiering en die van een bouwkundige keuring. Daarnaast heeft de koper wettelijk drie dagen bedenktijd. De koper moet zich echter realiseren dat de koopakte, met uitzondering van de drie dagen bedenktijd, niet zomaar kan worden ontbonden. Er is dus niets voorlopigs aan. Het tekenen van de koopovereenkomst verplicht de koper zich ervoor in te zetten dat de koop onvoorwaardelijk wordt. De koper moet bijvoorbeeld proberen de financiering rond te krijgen of een bouwkundige keuring laten uitvoeren.  </w:t>
      </w:r>
      <w:r w:rsidRPr="00F628BC">
        <w:rPr>
          <w:rFonts w:ascii="Verdana" w:hAnsi="Verdana"/>
          <w:sz w:val="20"/>
          <w:szCs w:val="20"/>
        </w:rPr>
        <w:br/>
      </w:r>
    </w:p>
    <w:p w14:paraId="7BCC1411" w14:textId="77777777" w:rsidR="0097546B" w:rsidRPr="00F628BC" w:rsidRDefault="0097546B" w:rsidP="0097546B">
      <w:pPr>
        <w:rPr>
          <w:rFonts w:ascii="Verdana" w:hAnsi="Verdana"/>
          <w:b/>
          <w:sz w:val="20"/>
          <w:szCs w:val="20"/>
        </w:rPr>
      </w:pPr>
      <w:r w:rsidRPr="00F628BC">
        <w:rPr>
          <w:rFonts w:ascii="Verdana" w:hAnsi="Verdana"/>
          <w:b/>
          <w:sz w:val="20"/>
          <w:szCs w:val="20"/>
        </w:rPr>
        <w:t>Onheil</w:t>
      </w:r>
    </w:p>
    <w:p w14:paraId="5F2AB986" w14:textId="77777777" w:rsidR="0097546B" w:rsidRPr="00F628BC" w:rsidRDefault="0097546B" w:rsidP="0097546B">
      <w:pPr>
        <w:rPr>
          <w:rFonts w:ascii="Verdana" w:hAnsi="Verdana"/>
          <w:sz w:val="20"/>
          <w:szCs w:val="20"/>
        </w:rPr>
      </w:pPr>
      <w:r w:rsidRPr="00F628BC">
        <w:rPr>
          <w:rFonts w:ascii="Verdana" w:hAnsi="Verdana"/>
          <w:sz w:val="20"/>
          <w:szCs w:val="20"/>
        </w:rPr>
        <w:t>De koper kan de koopakte ook nog laten inschrijven bij het Kadaster. Deze inschrijving beschermt de koper tegen onheil aan de kant van de verkoper, zoals een faillissement, beslag op de woning, of het (verkopen en) leveren van de woning aan een andere partij. Deze bescherming geldt tot 6 maanden na inschrijving.</w:t>
      </w:r>
    </w:p>
    <w:p w14:paraId="051C3282" w14:textId="77777777" w:rsidR="0097546B" w:rsidRPr="00F628BC" w:rsidRDefault="0097546B" w:rsidP="0097546B">
      <w:pPr>
        <w:rPr>
          <w:rFonts w:ascii="Verdana" w:hAnsi="Verdana"/>
          <w:sz w:val="20"/>
          <w:szCs w:val="20"/>
        </w:rPr>
      </w:pPr>
      <w:r w:rsidRPr="00F628BC">
        <w:rPr>
          <w:rFonts w:ascii="Verdana" w:hAnsi="Verdana"/>
          <w:sz w:val="20"/>
          <w:szCs w:val="20"/>
        </w:rPr>
        <w:t> </w:t>
      </w:r>
    </w:p>
    <w:p w14:paraId="25CA5D20" w14:textId="77777777" w:rsidR="0097546B" w:rsidRPr="00F628BC" w:rsidRDefault="0097546B" w:rsidP="0097546B">
      <w:pPr>
        <w:rPr>
          <w:rFonts w:ascii="Verdana" w:hAnsi="Verdana"/>
          <w:sz w:val="20"/>
          <w:szCs w:val="20"/>
        </w:rPr>
      </w:pPr>
      <w:r w:rsidRPr="00F628BC">
        <w:rPr>
          <w:rFonts w:ascii="Verdana" w:hAnsi="Verdana"/>
          <w:sz w:val="20"/>
          <w:szCs w:val="20"/>
        </w:rPr>
        <w:t>Als er geen beroep wordt gedaan op de ontbindende voorwaarden of de drie dagen bedenktijd, is de koop onherroepelijk. De woning kan dan op de afgesproken dag via de notaris geleverd worden aan de nieuwe eigenaar. </w:t>
      </w:r>
    </w:p>
    <w:p w14:paraId="5F635B6E" w14:textId="77777777" w:rsidR="0097546B" w:rsidRPr="00F628BC" w:rsidRDefault="0097546B" w:rsidP="0097546B">
      <w:pPr>
        <w:rPr>
          <w:rFonts w:ascii="Verdana" w:hAnsi="Verdana"/>
          <w:sz w:val="20"/>
          <w:szCs w:val="20"/>
        </w:rPr>
      </w:pPr>
    </w:p>
    <w:p w14:paraId="01B77DC1" w14:textId="5B48C766" w:rsidR="0097546B" w:rsidRPr="00F628BC" w:rsidRDefault="0097546B" w:rsidP="0097546B">
      <w:pPr>
        <w:rPr>
          <w:rFonts w:ascii="Verdana" w:hAnsi="Verdana"/>
          <w:sz w:val="20"/>
          <w:szCs w:val="20"/>
        </w:rPr>
      </w:pPr>
      <w:r w:rsidRPr="00F628BC">
        <w:rPr>
          <w:rFonts w:ascii="Verdana" w:hAnsi="Verdana"/>
          <w:sz w:val="20"/>
          <w:szCs w:val="20"/>
        </w:rPr>
        <w:t xml:space="preserve">Bij de koop van een woning beschikken </w:t>
      </w:r>
      <w:proofErr w:type="spellStart"/>
      <w:r w:rsidRPr="00F628BC">
        <w:rPr>
          <w:rFonts w:ascii="Verdana" w:hAnsi="Verdana"/>
          <w:sz w:val="20"/>
          <w:szCs w:val="20"/>
        </w:rPr>
        <w:t>NVM-makelaars</w:t>
      </w:r>
      <w:proofErr w:type="spellEnd"/>
      <w:r w:rsidRPr="00F628BC">
        <w:rPr>
          <w:rFonts w:ascii="Verdana" w:hAnsi="Verdana"/>
          <w:sz w:val="20"/>
          <w:szCs w:val="20"/>
        </w:rPr>
        <w:t xml:space="preserve"> over een </w:t>
      </w:r>
      <w:proofErr w:type="spellStart"/>
      <w:r w:rsidRPr="00F628BC">
        <w:rPr>
          <w:rFonts w:ascii="Verdana" w:hAnsi="Verdana"/>
          <w:sz w:val="20"/>
          <w:szCs w:val="20"/>
        </w:rPr>
        <w:t>model</w:t>
      </w:r>
      <w:r w:rsidR="00F628BC">
        <w:rPr>
          <w:rFonts w:ascii="Verdana" w:hAnsi="Verdana"/>
          <w:sz w:val="20"/>
          <w:szCs w:val="20"/>
        </w:rPr>
        <w:t>-</w:t>
      </w:r>
      <w:r w:rsidRPr="00F628BC">
        <w:rPr>
          <w:rFonts w:ascii="Verdana" w:hAnsi="Verdana"/>
          <w:sz w:val="20"/>
          <w:szCs w:val="20"/>
        </w:rPr>
        <w:t>koopakte</w:t>
      </w:r>
      <w:proofErr w:type="spellEnd"/>
      <w:r w:rsidRPr="00F628BC">
        <w:rPr>
          <w:rFonts w:ascii="Verdana" w:hAnsi="Verdana"/>
          <w:sz w:val="20"/>
          <w:szCs w:val="20"/>
        </w:rPr>
        <w:t xml:space="preserve"> die vaak wordt gebruikt. Dit model </w:t>
      </w:r>
      <w:r w:rsidR="00F628BC">
        <w:rPr>
          <w:rFonts w:ascii="Verdana" w:hAnsi="Verdana"/>
          <w:sz w:val="20"/>
          <w:szCs w:val="20"/>
        </w:rPr>
        <w:t>wordt</w:t>
      </w:r>
      <w:r w:rsidRPr="00F628BC">
        <w:rPr>
          <w:rFonts w:ascii="Verdana" w:hAnsi="Verdana"/>
          <w:sz w:val="20"/>
          <w:szCs w:val="20"/>
        </w:rPr>
        <w:t xml:space="preserve"> re</w:t>
      </w:r>
      <w:r w:rsidR="00F628BC">
        <w:rPr>
          <w:rFonts w:ascii="Verdana" w:hAnsi="Verdana"/>
          <w:sz w:val="20"/>
          <w:szCs w:val="20"/>
        </w:rPr>
        <w:t>gelmatig</w:t>
      </w:r>
      <w:r w:rsidRPr="00F628BC">
        <w:rPr>
          <w:rFonts w:ascii="Verdana" w:hAnsi="Verdana"/>
          <w:sz w:val="20"/>
          <w:szCs w:val="20"/>
        </w:rPr>
        <w:t xml:space="preserve"> vernieuwd</w:t>
      </w:r>
      <w:r w:rsidR="00F628BC">
        <w:rPr>
          <w:rFonts w:ascii="Verdana" w:hAnsi="Verdana"/>
          <w:sz w:val="20"/>
          <w:szCs w:val="20"/>
        </w:rPr>
        <w:t xml:space="preserve"> op basis van de meest actuele regelgeving</w:t>
      </w:r>
      <w:bookmarkStart w:id="0" w:name="_GoBack"/>
      <w:bookmarkEnd w:id="0"/>
      <w:r w:rsidRPr="00F628BC">
        <w:rPr>
          <w:rFonts w:ascii="Verdana" w:hAnsi="Verdana"/>
          <w:sz w:val="20"/>
          <w:szCs w:val="20"/>
        </w:rPr>
        <w:t xml:space="preserve">. Voor meer informatie over de koopakte kunt u terecht bij uw NVM-makelaar. </w:t>
      </w:r>
    </w:p>
    <w:p w14:paraId="77601313" w14:textId="77777777" w:rsidR="0097546B" w:rsidRPr="00F628BC" w:rsidRDefault="0097546B" w:rsidP="0097546B">
      <w:pPr>
        <w:rPr>
          <w:rFonts w:ascii="Verdana" w:hAnsi="Verdana"/>
          <w:sz w:val="20"/>
          <w:szCs w:val="20"/>
        </w:rPr>
      </w:pPr>
      <w:r w:rsidRPr="00F628BC">
        <w:rPr>
          <w:rFonts w:ascii="Verdana" w:hAnsi="Verdana"/>
          <w:sz w:val="20"/>
          <w:szCs w:val="20"/>
        </w:rPr>
        <w:br/>
      </w:r>
    </w:p>
    <w:p w14:paraId="3BC8C86D" w14:textId="77777777" w:rsidR="009D67F8" w:rsidRPr="00F628BC" w:rsidRDefault="009D67F8" w:rsidP="0097546B">
      <w:pPr>
        <w:rPr>
          <w:rFonts w:ascii="Verdana" w:hAnsi="Verdana"/>
          <w:sz w:val="20"/>
          <w:szCs w:val="20"/>
        </w:rPr>
      </w:pPr>
    </w:p>
    <w:sectPr w:rsidR="009D67F8" w:rsidRPr="00F628BC" w:rsidSect="00467346">
      <w:headerReference w:type="default" r:id="rId7"/>
      <w:footerReference w:type="default" r:id="rId8"/>
      <w:type w:val="continuous"/>
      <w:pgSz w:w="11905" w:h="16837"/>
      <w:pgMar w:top="2268" w:right="1134" w:bottom="1701" w:left="1134" w:header="624" w:footer="0" w:gutter="51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A4D93" w14:textId="77777777" w:rsidR="00525950" w:rsidRDefault="00525950" w:rsidP="00467346">
      <w:r>
        <w:separator/>
      </w:r>
    </w:p>
  </w:endnote>
  <w:endnote w:type="continuationSeparator" w:id="0">
    <w:p w14:paraId="25295044" w14:textId="77777777" w:rsidR="00525950" w:rsidRDefault="00525950" w:rsidP="0046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0B7A4" w14:textId="77777777" w:rsidR="00467346" w:rsidRDefault="00D27C7A" w:rsidP="00467346">
    <w:pPr>
      <w:pStyle w:val="Voettekst"/>
      <w:ind w:left="-1644"/>
    </w:pPr>
    <w:r>
      <w:rPr>
        <w:noProof/>
      </w:rPr>
      <w:drawing>
        <wp:inline distT="0" distB="0" distL="0" distR="0" wp14:anchorId="1BE204FE" wp14:editId="48E6428A">
          <wp:extent cx="7600950" cy="1085850"/>
          <wp:effectExtent l="19050" t="0" r="0" b="0"/>
          <wp:docPr id="1" name="Afbeelding 1" descr="C:\Documents and Settings\kerssebooma\Local Settings\Temporary Internet Files\Content.Outlook\QT4NRWYP\Erecode NVM onderk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kerssebooma\Local Settings\Temporary Internet Files\Content.Outlook\QT4NRWYP\Erecode NVM onderkant.gif"/>
                  <pic:cNvPicPr>
                    <a:picLocks noChangeAspect="1" noChangeArrowheads="1"/>
                  </pic:cNvPicPr>
                </pic:nvPicPr>
                <pic:blipFill>
                  <a:blip r:embed="rId1"/>
                  <a:srcRect/>
                  <a:stretch>
                    <a:fillRect/>
                  </a:stretch>
                </pic:blipFill>
                <pic:spPr bwMode="auto">
                  <a:xfrm>
                    <a:off x="0" y="0"/>
                    <a:ext cx="7600950" cy="10858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0412D" w14:textId="77777777" w:rsidR="00525950" w:rsidRDefault="00525950" w:rsidP="00467346">
      <w:r>
        <w:separator/>
      </w:r>
    </w:p>
  </w:footnote>
  <w:footnote w:type="continuationSeparator" w:id="0">
    <w:p w14:paraId="3D88E7CE" w14:textId="77777777" w:rsidR="00525950" w:rsidRDefault="00525950" w:rsidP="0046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4C5C" w14:textId="77777777" w:rsidR="00467346" w:rsidRDefault="00D27C7A" w:rsidP="00467346">
    <w:pPr>
      <w:rPr>
        <w:rFonts w:ascii="Arial" w:hAnsi="Arial" w:cs="Arial"/>
        <w:b/>
        <w:noProof/>
        <w:color w:val="548DD4"/>
        <w:sz w:val="44"/>
        <w:szCs w:val="44"/>
      </w:rPr>
    </w:pPr>
    <w:r>
      <w:rPr>
        <w:rFonts w:ascii="Arial" w:hAnsi="Arial" w:cs="Arial"/>
        <w:b/>
        <w:noProof/>
        <w:color w:val="548DD4"/>
        <w:sz w:val="40"/>
        <w:szCs w:val="40"/>
      </w:rPr>
      <w:drawing>
        <wp:anchor distT="0" distB="0" distL="114300" distR="114300" simplePos="0" relativeHeight="251657728" behindDoc="0" locked="0" layoutInCell="1" allowOverlap="1" wp14:anchorId="4150BACE" wp14:editId="511B358B">
          <wp:simplePos x="0" y="0"/>
          <wp:positionH relativeFrom="margin">
            <wp:posOffset>5158105</wp:posOffset>
          </wp:positionH>
          <wp:positionV relativeFrom="margin">
            <wp:posOffset>-1279525</wp:posOffset>
          </wp:positionV>
          <wp:extent cx="714375" cy="876300"/>
          <wp:effectExtent l="19050" t="0" r="9525" b="0"/>
          <wp:wrapSquare wrapText="bothSides"/>
          <wp:docPr id="2" name="Afbeelding 3" descr="cid:image001.gif@01CAB08F.B7DEE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1.gif@01CAB08F.B7DEE310"/>
                  <pic:cNvPicPr>
                    <a:picLocks noChangeAspect="1" noChangeArrowheads="1"/>
                  </pic:cNvPicPr>
                </pic:nvPicPr>
                <pic:blipFill>
                  <a:blip r:embed="rId1" r:link="rId2"/>
                  <a:srcRect/>
                  <a:stretch>
                    <a:fillRect/>
                  </a:stretch>
                </pic:blipFill>
                <pic:spPr bwMode="auto">
                  <a:xfrm>
                    <a:off x="0" y="0"/>
                    <a:ext cx="714375" cy="876300"/>
                  </a:xfrm>
                  <a:prstGeom prst="rect">
                    <a:avLst/>
                  </a:prstGeom>
                  <a:noFill/>
                  <a:ln w="9525">
                    <a:noFill/>
                    <a:miter lim="800000"/>
                    <a:headEnd/>
                    <a:tailEnd/>
                  </a:ln>
                </pic:spPr>
              </pic:pic>
            </a:graphicData>
          </a:graphic>
        </wp:anchor>
      </w:drawing>
    </w:r>
    <w:r w:rsidR="0097546B" w:rsidRPr="0097546B">
      <w:rPr>
        <w:rFonts w:ascii="Arial" w:hAnsi="Arial" w:cs="Arial"/>
        <w:b/>
        <w:noProof/>
        <w:color w:val="548DD4"/>
        <w:sz w:val="44"/>
        <w:szCs w:val="44"/>
      </w:rPr>
      <w:t xml:space="preserve">Koopakte legt afspraken koper en </w:t>
    </w:r>
    <w:r w:rsidR="0097546B">
      <w:rPr>
        <w:rFonts w:ascii="Arial" w:hAnsi="Arial" w:cs="Arial"/>
        <w:b/>
        <w:noProof/>
        <w:color w:val="548DD4"/>
        <w:sz w:val="44"/>
        <w:szCs w:val="44"/>
      </w:rPr>
      <w:br/>
    </w:r>
    <w:r w:rsidR="0097546B" w:rsidRPr="0097546B">
      <w:rPr>
        <w:rFonts w:ascii="Arial" w:hAnsi="Arial" w:cs="Arial"/>
        <w:b/>
        <w:noProof/>
        <w:color w:val="548DD4"/>
        <w:sz w:val="44"/>
        <w:szCs w:val="44"/>
      </w:rPr>
      <w:t>verkoper vast</w:t>
    </w:r>
  </w:p>
  <w:p w14:paraId="71115104" w14:textId="77777777" w:rsidR="00467346" w:rsidRPr="002738A1" w:rsidRDefault="00467346" w:rsidP="00467346">
    <w:pPr>
      <w:rPr>
        <w:rFonts w:ascii="Arial" w:hAnsi="Arial" w:cs="Arial"/>
        <w:b/>
        <w:color w:val="548DD4"/>
        <w:sz w:val="40"/>
        <w:szCs w:val="40"/>
      </w:rPr>
    </w:pPr>
    <w:r>
      <w:rPr>
        <w:rFonts w:ascii="Arial" w:hAnsi="Arial" w:cs="Arial"/>
        <w:b/>
        <w:noProof/>
        <w:color w:val="548DD4"/>
        <w:sz w:val="40"/>
        <w:szCs w:val="40"/>
      </w:rPr>
      <w:tab/>
    </w:r>
    <w:r>
      <w:rPr>
        <w:rFonts w:ascii="Arial" w:hAnsi="Arial" w:cs="Arial"/>
        <w:b/>
        <w:noProof/>
        <w:color w:val="548DD4"/>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80"/>
    <w:rsid w:val="00084AD0"/>
    <w:rsid w:val="0009689E"/>
    <w:rsid w:val="000A123E"/>
    <w:rsid w:val="000A5F17"/>
    <w:rsid w:val="000D278C"/>
    <w:rsid w:val="00132C35"/>
    <w:rsid w:val="00160913"/>
    <w:rsid w:val="0022277B"/>
    <w:rsid w:val="00331A60"/>
    <w:rsid w:val="003328AE"/>
    <w:rsid w:val="00341416"/>
    <w:rsid w:val="00344A26"/>
    <w:rsid w:val="00363C98"/>
    <w:rsid w:val="00404B33"/>
    <w:rsid w:val="00445C0C"/>
    <w:rsid w:val="00452417"/>
    <w:rsid w:val="004533E4"/>
    <w:rsid w:val="0046241D"/>
    <w:rsid w:val="00467346"/>
    <w:rsid w:val="0052321F"/>
    <w:rsid w:val="00525950"/>
    <w:rsid w:val="0057362F"/>
    <w:rsid w:val="005A65E5"/>
    <w:rsid w:val="005D4B71"/>
    <w:rsid w:val="005E043F"/>
    <w:rsid w:val="005E3F73"/>
    <w:rsid w:val="005E5498"/>
    <w:rsid w:val="005F3E59"/>
    <w:rsid w:val="00623853"/>
    <w:rsid w:val="0062433A"/>
    <w:rsid w:val="00660134"/>
    <w:rsid w:val="006635AB"/>
    <w:rsid w:val="006802CB"/>
    <w:rsid w:val="00682DEC"/>
    <w:rsid w:val="006B4ED3"/>
    <w:rsid w:val="006D5D5A"/>
    <w:rsid w:val="006D7000"/>
    <w:rsid w:val="006F29ED"/>
    <w:rsid w:val="006F36DA"/>
    <w:rsid w:val="00703D8C"/>
    <w:rsid w:val="00784EE1"/>
    <w:rsid w:val="007B2754"/>
    <w:rsid w:val="008438FC"/>
    <w:rsid w:val="00881AF1"/>
    <w:rsid w:val="008B63AD"/>
    <w:rsid w:val="008B78F1"/>
    <w:rsid w:val="008D434D"/>
    <w:rsid w:val="00907232"/>
    <w:rsid w:val="00953EDF"/>
    <w:rsid w:val="00963BD2"/>
    <w:rsid w:val="00970302"/>
    <w:rsid w:val="0097546B"/>
    <w:rsid w:val="00976AE9"/>
    <w:rsid w:val="00983A3F"/>
    <w:rsid w:val="00992259"/>
    <w:rsid w:val="009A0116"/>
    <w:rsid w:val="009C0475"/>
    <w:rsid w:val="009C3FF9"/>
    <w:rsid w:val="009D67F8"/>
    <w:rsid w:val="00A4448B"/>
    <w:rsid w:val="00A51D2D"/>
    <w:rsid w:val="00AA3BF8"/>
    <w:rsid w:val="00AB2280"/>
    <w:rsid w:val="00B31526"/>
    <w:rsid w:val="00B607A7"/>
    <w:rsid w:val="00B90341"/>
    <w:rsid w:val="00B909B6"/>
    <w:rsid w:val="00B95AC4"/>
    <w:rsid w:val="00BA698F"/>
    <w:rsid w:val="00BD11F7"/>
    <w:rsid w:val="00BF01B6"/>
    <w:rsid w:val="00C00CDC"/>
    <w:rsid w:val="00C21DB4"/>
    <w:rsid w:val="00C23E6F"/>
    <w:rsid w:val="00C27A48"/>
    <w:rsid w:val="00C30BD3"/>
    <w:rsid w:val="00C724E8"/>
    <w:rsid w:val="00C81B4C"/>
    <w:rsid w:val="00C92739"/>
    <w:rsid w:val="00CA22D4"/>
    <w:rsid w:val="00CE566E"/>
    <w:rsid w:val="00CF1379"/>
    <w:rsid w:val="00CF4844"/>
    <w:rsid w:val="00D27C7A"/>
    <w:rsid w:val="00D309F3"/>
    <w:rsid w:val="00DA0566"/>
    <w:rsid w:val="00DE7C3D"/>
    <w:rsid w:val="00E01AB1"/>
    <w:rsid w:val="00E07252"/>
    <w:rsid w:val="00E113B2"/>
    <w:rsid w:val="00E274F0"/>
    <w:rsid w:val="00E27E2C"/>
    <w:rsid w:val="00E50498"/>
    <w:rsid w:val="00E5521A"/>
    <w:rsid w:val="00EF0551"/>
    <w:rsid w:val="00F200FF"/>
    <w:rsid w:val="00F226E7"/>
    <w:rsid w:val="00F24947"/>
    <w:rsid w:val="00F5527E"/>
    <w:rsid w:val="00F628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AA2E1"/>
  <w15:docId w15:val="{D09E3367-0069-4DF3-8FF2-22CC4CF4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607A7"/>
    <w:rPr>
      <w:sz w:val="24"/>
      <w:szCs w:val="24"/>
    </w:rPr>
  </w:style>
  <w:style w:type="paragraph" w:styleId="Kop1">
    <w:name w:val="heading 1"/>
    <w:basedOn w:val="Standaard"/>
    <w:next w:val="Standaard"/>
    <w:qFormat/>
    <w:rsid w:val="00CE566E"/>
    <w:pPr>
      <w:keepNext/>
      <w:outlineLvl w:val="0"/>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7346"/>
    <w:pPr>
      <w:tabs>
        <w:tab w:val="center" w:pos="4536"/>
        <w:tab w:val="right" w:pos="9072"/>
      </w:tabs>
    </w:pPr>
  </w:style>
  <w:style w:type="character" w:customStyle="1" w:styleId="KoptekstChar">
    <w:name w:val="Koptekst Char"/>
    <w:basedOn w:val="Standaardalinea-lettertype"/>
    <w:link w:val="Koptekst"/>
    <w:uiPriority w:val="99"/>
    <w:rsid w:val="00467346"/>
    <w:rPr>
      <w:sz w:val="24"/>
      <w:szCs w:val="24"/>
    </w:rPr>
  </w:style>
  <w:style w:type="paragraph" w:styleId="Voettekst">
    <w:name w:val="footer"/>
    <w:basedOn w:val="Standaard"/>
    <w:link w:val="VoettekstChar"/>
    <w:uiPriority w:val="99"/>
    <w:unhideWhenUsed/>
    <w:rsid w:val="00467346"/>
    <w:pPr>
      <w:tabs>
        <w:tab w:val="center" w:pos="4536"/>
        <w:tab w:val="right" w:pos="9072"/>
      </w:tabs>
    </w:pPr>
  </w:style>
  <w:style w:type="character" w:customStyle="1" w:styleId="VoettekstChar">
    <w:name w:val="Voettekst Char"/>
    <w:basedOn w:val="Standaardalinea-lettertype"/>
    <w:link w:val="Voettekst"/>
    <w:uiPriority w:val="99"/>
    <w:rsid w:val="004673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11135">
      <w:bodyDiv w:val="1"/>
      <w:marLeft w:val="0"/>
      <w:marRight w:val="0"/>
      <w:marTop w:val="0"/>
      <w:marBottom w:val="0"/>
      <w:divBdr>
        <w:top w:val="none" w:sz="0" w:space="0" w:color="auto"/>
        <w:left w:val="none" w:sz="0" w:space="0" w:color="auto"/>
        <w:bottom w:val="none" w:sz="0" w:space="0" w:color="auto"/>
        <w:right w:val="none" w:sz="0" w:space="0" w:color="auto"/>
      </w:divBdr>
    </w:div>
    <w:div w:id="1594241973">
      <w:bodyDiv w:val="1"/>
      <w:marLeft w:val="0"/>
      <w:marRight w:val="0"/>
      <w:marTop w:val="0"/>
      <w:marBottom w:val="0"/>
      <w:divBdr>
        <w:top w:val="none" w:sz="0" w:space="0" w:color="auto"/>
        <w:left w:val="none" w:sz="0" w:space="0" w:color="auto"/>
        <w:bottom w:val="none" w:sz="0" w:space="0" w:color="auto"/>
        <w:right w:val="none" w:sz="0" w:space="0" w:color="auto"/>
      </w:divBdr>
    </w:div>
    <w:div w:id="20953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gif@01CB97C0.41B1FDD0"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0180-25BA-429A-A56C-4AAC7DA0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288</Words>
  <Characters>1585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NVM</Company>
  <LinksUpToDate>false</LinksUpToDate>
  <CharactersWithSpaces>1870</CharactersWithSpaces>
  <SharedDoc>false</SharedDoc>
  <HLinks>
    <vt:vector size="6" baseType="variant">
      <vt:variant>
        <vt:i4>2752605</vt:i4>
      </vt:variant>
      <vt:variant>
        <vt:i4>-1</vt:i4>
      </vt:variant>
      <vt:variant>
        <vt:i4>2049</vt:i4>
      </vt:variant>
      <vt:variant>
        <vt:i4>1</vt:i4>
      </vt:variant>
      <vt:variant>
        <vt:lpwstr>cid:image001.gif@01CB97C0.41B1FDD0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Magdelyns, Frank</dc:creator>
  <cp:keywords/>
  <dc:description/>
  <cp:lastModifiedBy>Sander</cp:lastModifiedBy>
  <cp:revision>4</cp:revision>
  <dcterms:created xsi:type="dcterms:W3CDTF">2018-03-15T17:32:00Z</dcterms:created>
  <dcterms:modified xsi:type="dcterms:W3CDTF">2018-03-20T17:56:00Z</dcterms:modified>
</cp:coreProperties>
</file>