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E542" w14:textId="77777777" w:rsidR="004401D6" w:rsidRPr="001E00D8" w:rsidRDefault="004401D6" w:rsidP="00A02D08">
      <w:pPr>
        <w:autoSpaceDE w:val="0"/>
        <w:autoSpaceDN w:val="0"/>
        <w:adjustRightInd w:val="0"/>
        <w:spacing w:before="0" w:beforeAutospacing="0" w:after="0" w:afterAutospacing="0" w:line="360" w:lineRule="auto"/>
        <w:rPr>
          <w:rFonts w:ascii="Arial" w:hAnsi="Arial" w:cs="Arial"/>
        </w:rPr>
      </w:pPr>
      <w:r w:rsidRPr="001E00D8">
        <w:rPr>
          <w:rFonts w:ascii="Arial" w:hAnsi="Arial" w:cs="Arial"/>
        </w:rPr>
        <w:t xml:space="preserve">Het opmaken van een sleutelverklaring is voor de verkoper niet zonder risico’s. </w:t>
      </w:r>
    </w:p>
    <w:p w14:paraId="64460B96" w14:textId="77777777" w:rsidR="004401D6" w:rsidRPr="001E00D8" w:rsidRDefault="004401D6" w:rsidP="00A02D08">
      <w:pPr>
        <w:autoSpaceDE w:val="0"/>
        <w:autoSpaceDN w:val="0"/>
        <w:adjustRightInd w:val="0"/>
        <w:spacing w:before="0" w:beforeAutospacing="0" w:after="0" w:afterAutospacing="0" w:line="360" w:lineRule="auto"/>
        <w:rPr>
          <w:rFonts w:ascii="Arial" w:hAnsi="Arial" w:cs="Arial"/>
        </w:rPr>
      </w:pPr>
      <w:r w:rsidRPr="001E00D8">
        <w:rPr>
          <w:rFonts w:ascii="Arial" w:hAnsi="Arial" w:cs="Arial"/>
        </w:rPr>
        <w:t>Het gebruik van een sleutelverklaring is daarom sterk af te raden. Indien toch besloten wordt om een sleutelverklaring op te stellen raden wij u aan om</w:t>
      </w:r>
      <w:r w:rsidR="00DE62BA" w:rsidRPr="001E00D8">
        <w:rPr>
          <w:rFonts w:ascii="Arial" w:hAnsi="Arial" w:cs="Arial"/>
        </w:rPr>
        <w:t>,</w:t>
      </w:r>
      <w:r w:rsidRPr="001E00D8">
        <w:rPr>
          <w:rFonts w:ascii="Arial" w:hAnsi="Arial" w:cs="Arial"/>
        </w:rPr>
        <w:t xml:space="preserve"> voordat u eventueel gebruik maakt van de uitgebreide sleutelverklaring, kennis te nemen van onderstaande toelichting.</w:t>
      </w:r>
    </w:p>
    <w:p w14:paraId="6E3767EF" w14:textId="77777777" w:rsidR="004401D6" w:rsidRPr="00AF55FE" w:rsidRDefault="004401D6" w:rsidP="00A02D08">
      <w:pPr>
        <w:autoSpaceDE w:val="0"/>
        <w:autoSpaceDN w:val="0"/>
        <w:adjustRightInd w:val="0"/>
        <w:spacing w:before="0" w:beforeAutospacing="0" w:after="0" w:afterAutospacing="0" w:line="360" w:lineRule="auto"/>
        <w:rPr>
          <w:rFonts w:ascii="Arial" w:hAnsi="Arial" w:cs="Arial"/>
        </w:rPr>
      </w:pPr>
    </w:p>
    <w:p w14:paraId="5E9B31FC" w14:textId="77777777" w:rsidR="00AF55FE" w:rsidRPr="004401D6" w:rsidRDefault="00AF55FE" w:rsidP="00A02D08">
      <w:pPr>
        <w:autoSpaceDE w:val="0"/>
        <w:autoSpaceDN w:val="0"/>
        <w:adjustRightInd w:val="0"/>
        <w:spacing w:before="0" w:beforeAutospacing="0" w:after="0" w:afterAutospacing="0" w:line="360" w:lineRule="auto"/>
        <w:rPr>
          <w:rFonts w:ascii="Arial" w:hAnsi="Arial" w:cs="Arial"/>
          <w:b/>
          <w:bCs/>
          <w:color w:val="4F81BD" w:themeColor="accent1"/>
        </w:rPr>
      </w:pPr>
      <w:r w:rsidRPr="004401D6">
        <w:rPr>
          <w:rFonts w:ascii="Arial" w:hAnsi="Arial" w:cs="Arial"/>
          <w:b/>
          <w:bCs/>
          <w:color w:val="4F81BD" w:themeColor="accent1"/>
        </w:rPr>
        <w:t>Sleutelverklaring en overdrachtsbelasting</w:t>
      </w:r>
    </w:p>
    <w:p w14:paraId="02D97BA0" w14:textId="77777777" w:rsidR="00786C7B" w:rsidRDefault="00AF55FE" w:rsidP="005D569A">
      <w:pPr>
        <w:autoSpaceDE w:val="0"/>
        <w:autoSpaceDN w:val="0"/>
        <w:adjustRightInd w:val="0"/>
        <w:spacing w:before="0" w:beforeAutospacing="0" w:after="0" w:afterAutospacing="0" w:line="360" w:lineRule="auto"/>
        <w:rPr>
          <w:rFonts w:ascii="Arial" w:hAnsi="Arial" w:cs="Arial"/>
        </w:rPr>
      </w:pPr>
      <w:r w:rsidRPr="00AF55FE">
        <w:rPr>
          <w:rFonts w:ascii="Arial" w:hAnsi="Arial" w:cs="Arial"/>
        </w:rPr>
        <w:t>Zogenoemde ‘uitgebreide sleutelverklaringen’, kunnen in beginsel tot gevolg</w:t>
      </w:r>
      <w:r w:rsidR="004401D6">
        <w:rPr>
          <w:rFonts w:ascii="Arial" w:hAnsi="Arial" w:cs="Arial"/>
        </w:rPr>
        <w:t xml:space="preserve"> </w:t>
      </w:r>
      <w:r w:rsidRPr="00AF55FE">
        <w:rPr>
          <w:rFonts w:ascii="Arial" w:hAnsi="Arial" w:cs="Arial"/>
        </w:rPr>
        <w:t>hebben dat direct overdrachtsbelasting verschuldigd is.</w:t>
      </w:r>
      <w:r w:rsidR="008A0347">
        <w:rPr>
          <w:rFonts w:ascii="Arial" w:hAnsi="Arial" w:cs="Arial"/>
        </w:rPr>
        <w:t xml:space="preserve"> </w:t>
      </w:r>
      <w:r w:rsidRPr="00AF55FE">
        <w:rPr>
          <w:rFonts w:ascii="Arial" w:hAnsi="Arial" w:cs="Arial"/>
        </w:rPr>
        <w:t>Het is niet uitgesloten dat een sleutelverklaring in combinatie met een koopovereenkomst</w:t>
      </w:r>
      <w:r w:rsidR="008A0347">
        <w:rPr>
          <w:rFonts w:ascii="Arial" w:hAnsi="Arial" w:cs="Arial"/>
        </w:rPr>
        <w:t xml:space="preserve"> </w:t>
      </w:r>
      <w:r w:rsidRPr="00AF55FE">
        <w:rPr>
          <w:rFonts w:ascii="Arial" w:hAnsi="Arial" w:cs="Arial"/>
        </w:rPr>
        <w:t>beschouwd wordt als een economische</w:t>
      </w:r>
      <w:r w:rsidR="008A0347">
        <w:rPr>
          <w:rFonts w:ascii="Arial" w:hAnsi="Arial" w:cs="Arial"/>
        </w:rPr>
        <w:t xml:space="preserve"> </w:t>
      </w:r>
      <w:r w:rsidRPr="00AF55FE">
        <w:rPr>
          <w:rFonts w:ascii="Arial" w:hAnsi="Arial" w:cs="Arial"/>
        </w:rPr>
        <w:t>eigendomsoverdracht.</w:t>
      </w:r>
      <w:r w:rsidR="00DB70F5">
        <w:rPr>
          <w:rFonts w:ascii="Arial" w:hAnsi="Arial" w:cs="Arial"/>
        </w:rPr>
        <w:t xml:space="preserve">  </w:t>
      </w:r>
      <w:r w:rsidR="00DB70F5" w:rsidRPr="00AF55FE">
        <w:rPr>
          <w:rFonts w:ascii="Arial" w:hAnsi="Arial" w:cs="Arial"/>
        </w:rPr>
        <w:t>Vóór november 1999 was pas sprake van economische eigendomsoverdracht als overeengekomen</w:t>
      </w:r>
      <w:r w:rsidR="00DB70F5">
        <w:rPr>
          <w:rFonts w:ascii="Arial" w:hAnsi="Arial" w:cs="Arial"/>
        </w:rPr>
        <w:t xml:space="preserve"> </w:t>
      </w:r>
      <w:r w:rsidR="00DB70F5" w:rsidRPr="00AF55FE">
        <w:rPr>
          <w:rFonts w:ascii="Arial" w:hAnsi="Arial" w:cs="Arial"/>
        </w:rPr>
        <w:t xml:space="preserve">werd dat het </w:t>
      </w:r>
      <w:r w:rsidR="00DB70F5" w:rsidRPr="00A02D08">
        <w:rPr>
          <w:rFonts w:ascii="Arial" w:hAnsi="Arial"/>
          <w:i/>
        </w:rPr>
        <w:t>risico van waardeverandering</w:t>
      </w:r>
      <w:r w:rsidR="00DB70F5" w:rsidRPr="00AF55FE">
        <w:rPr>
          <w:rFonts w:ascii="Arial" w:hAnsi="Arial" w:cs="Arial"/>
        </w:rPr>
        <w:t xml:space="preserve"> </w:t>
      </w:r>
      <w:r w:rsidR="00DB70F5" w:rsidRPr="00A02D08">
        <w:rPr>
          <w:rFonts w:ascii="Arial" w:hAnsi="Arial"/>
          <w:i/>
          <w:u w:val="single"/>
        </w:rPr>
        <w:t>en</w:t>
      </w:r>
      <w:r w:rsidR="00DB70F5" w:rsidRPr="00A02D08">
        <w:rPr>
          <w:rFonts w:ascii="Arial" w:hAnsi="Arial"/>
          <w:i/>
        </w:rPr>
        <w:t xml:space="preserve"> tenietgaan</w:t>
      </w:r>
      <w:r w:rsidR="00DB70F5" w:rsidRPr="00AF55FE">
        <w:rPr>
          <w:rFonts w:ascii="Arial" w:hAnsi="Arial" w:cs="Arial"/>
        </w:rPr>
        <w:t xml:space="preserve"> van de onroerende zaak overgaat</w:t>
      </w:r>
      <w:r w:rsidR="00DB70F5">
        <w:rPr>
          <w:rFonts w:ascii="Arial" w:hAnsi="Arial" w:cs="Arial"/>
        </w:rPr>
        <w:t xml:space="preserve"> </w:t>
      </w:r>
      <w:r w:rsidR="00DB70F5" w:rsidRPr="00AF55FE">
        <w:rPr>
          <w:rFonts w:ascii="Arial" w:hAnsi="Arial" w:cs="Arial"/>
        </w:rPr>
        <w:t>op de koper.</w:t>
      </w:r>
      <w:r w:rsidR="00DB70F5">
        <w:rPr>
          <w:rFonts w:ascii="Arial" w:hAnsi="Arial" w:cs="Arial"/>
        </w:rPr>
        <w:t xml:space="preserve"> Sinds 1999 is overgang van het </w:t>
      </w:r>
      <w:r w:rsidR="00DB70F5" w:rsidRPr="00DB70F5">
        <w:rPr>
          <w:rFonts w:ascii="Arial" w:hAnsi="Arial" w:cs="Arial"/>
          <w:i/>
        </w:rPr>
        <w:t>risico van tenietgaan</w:t>
      </w:r>
      <w:r w:rsidR="00DB70F5">
        <w:rPr>
          <w:rFonts w:ascii="Arial" w:hAnsi="Arial" w:cs="Arial"/>
        </w:rPr>
        <w:t xml:space="preserve"> geen constructief element meer van de definitie </w:t>
      </w:r>
      <w:r w:rsidR="00DB70F5" w:rsidRPr="00AF55FE">
        <w:rPr>
          <w:rFonts w:ascii="Arial" w:hAnsi="Arial" w:cs="Arial"/>
        </w:rPr>
        <w:t>economische eigendomsoverdracht</w:t>
      </w:r>
      <w:r w:rsidR="00DB70F5">
        <w:rPr>
          <w:rFonts w:ascii="Arial" w:hAnsi="Arial" w:cs="Arial"/>
        </w:rPr>
        <w:t>. Er i</w:t>
      </w:r>
      <w:r w:rsidRPr="00AF55FE">
        <w:rPr>
          <w:rFonts w:ascii="Arial" w:hAnsi="Arial" w:cs="Arial"/>
        </w:rPr>
        <w:t xml:space="preserve">s al sprake van een economische eigendomsoverdracht wanneer </w:t>
      </w:r>
      <w:r w:rsidR="00611401">
        <w:rPr>
          <w:rFonts w:ascii="Arial" w:hAnsi="Arial" w:cs="Arial"/>
        </w:rPr>
        <w:t>koper</w:t>
      </w:r>
      <w:r w:rsidRPr="00AF55FE">
        <w:rPr>
          <w:rFonts w:ascii="Arial" w:hAnsi="Arial" w:cs="Arial"/>
        </w:rPr>
        <w:t xml:space="preserve"> </w:t>
      </w:r>
      <w:r w:rsidRPr="00A02D08">
        <w:rPr>
          <w:rFonts w:ascii="Arial" w:hAnsi="Arial"/>
          <w:i/>
        </w:rPr>
        <w:t>enig risico van waardeverandering</w:t>
      </w:r>
      <w:r w:rsidRPr="00AF55FE">
        <w:rPr>
          <w:rFonts w:ascii="Arial" w:hAnsi="Arial" w:cs="Arial"/>
        </w:rPr>
        <w:t xml:space="preserve"> loopt</w:t>
      </w:r>
      <w:r w:rsidR="00A11DF0">
        <w:rPr>
          <w:rFonts w:ascii="Arial" w:hAnsi="Arial" w:cs="Arial"/>
        </w:rPr>
        <w:t>.</w:t>
      </w:r>
      <w:r w:rsidR="006D5637">
        <w:rPr>
          <w:rFonts w:ascii="Arial" w:hAnsi="Arial" w:cs="Arial"/>
        </w:rPr>
        <w:t xml:space="preserve"> </w:t>
      </w:r>
      <w:r w:rsidR="009F3F8F">
        <w:rPr>
          <w:rFonts w:ascii="Arial" w:hAnsi="Arial" w:cs="Arial"/>
        </w:rPr>
        <w:t>H</w:t>
      </w:r>
      <w:r w:rsidRPr="00AF55FE">
        <w:rPr>
          <w:rFonts w:ascii="Arial" w:hAnsi="Arial" w:cs="Arial"/>
        </w:rPr>
        <w:t xml:space="preserve">et pure verkrijgen van </w:t>
      </w:r>
      <w:r w:rsidR="00216629" w:rsidRPr="00216629">
        <w:rPr>
          <w:rFonts w:ascii="Arial" w:hAnsi="Arial" w:cs="Arial"/>
          <w:i/>
        </w:rPr>
        <w:t>uitsluitend</w:t>
      </w:r>
      <w:r w:rsidR="00216629">
        <w:rPr>
          <w:rFonts w:ascii="Arial" w:hAnsi="Arial" w:cs="Arial"/>
        </w:rPr>
        <w:t xml:space="preserve"> </w:t>
      </w:r>
      <w:r w:rsidRPr="00AF55FE">
        <w:rPr>
          <w:rFonts w:ascii="Arial" w:hAnsi="Arial" w:cs="Arial"/>
        </w:rPr>
        <w:t>een recht</w:t>
      </w:r>
      <w:r w:rsidR="00B640C1">
        <w:rPr>
          <w:rFonts w:ascii="Arial" w:hAnsi="Arial" w:cs="Arial"/>
        </w:rPr>
        <w:t xml:space="preserve"> </w:t>
      </w:r>
      <w:r w:rsidRPr="00AF55FE">
        <w:rPr>
          <w:rFonts w:ascii="Arial" w:hAnsi="Arial" w:cs="Arial"/>
        </w:rPr>
        <w:t xml:space="preserve">tot levering van een onroerend goed </w:t>
      </w:r>
      <w:r w:rsidR="009F3F8F">
        <w:rPr>
          <w:rFonts w:ascii="Arial" w:hAnsi="Arial" w:cs="Arial"/>
        </w:rPr>
        <w:t>op grond van de koopovereenkomst</w:t>
      </w:r>
      <w:r w:rsidR="009B619A">
        <w:rPr>
          <w:rFonts w:ascii="Arial" w:hAnsi="Arial" w:cs="Arial"/>
        </w:rPr>
        <w:t xml:space="preserve">, waarbij </w:t>
      </w:r>
      <w:r w:rsidR="009B619A" w:rsidRPr="00AF55FE">
        <w:rPr>
          <w:rFonts w:ascii="Arial" w:hAnsi="Arial" w:cs="Arial"/>
        </w:rPr>
        <w:t>juridische levering en feitelijke levering</w:t>
      </w:r>
      <w:r w:rsidR="009B619A">
        <w:rPr>
          <w:rFonts w:ascii="Arial" w:hAnsi="Arial" w:cs="Arial"/>
        </w:rPr>
        <w:t xml:space="preserve"> s</w:t>
      </w:r>
      <w:r w:rsidR="009B619A" w:rsidRPr="00AF55FE">
        <w:rPr>
          <w:rFonts w:ascii="Arial" w:hAnsi="Arial" w:cs="Arial"/>
        </w:rPr>
        <w:t>amenvallen</w:t>
      </w:r>
      <w:r w:rsidR="009B619A">
        <w:rPr>
          <w:rFonts w:ascii="Arial" w:hAnsi="Arial" w:cs="Arial"/>
        </w:rPr>
        <w:t>,</w:t>
      </w:r>
      <w:r w:rsidR="009B619A" w:rsidRPr="00AF55FE">
        <w:rPr>
          <w:rFonts w:ascii="Arial" w:hAnsi="Arial" w:cs="Arial"/>
        </w:rPr>
        <w:t xml:space="preserve"> </w:t>
      </w:r>
      <w:r w:rsidR="009F3F8F">
        <w:rPr>
          <w:rFonts w:ascii="Arial" w:hAnsi="Arial" w:cs="Arial"/>
        </w:rPr>
        <w:t xml:space="preserve">is geen </w:t>
      </w:r>
      <w:r w:rsidR="009F3F8F" w:rsidRPr="00AF55FE">
        <w:rPr>
          <w:rFonts w:ascii="Arial" w:hAnsi="Arial" w:cs="Arial"/>
        </w:rPr>
        <w:t>economische eigendomsoverdracht</w:t>
      </w:r>
      <w:r w:rsidRPr="00AF55FE">
        <w:rPr>
          <w:rFonts w:ascii="Arial" w:hAnsi="Arial" w:cs="Arial"/>
        </w:rPr>
        <w:t>.</w:t>
      </w:r>
      <w:r w:rsidR="009B619A">
        <w:rPr>
          <w:rFonts w:ascii="Arial" w:hAnsi="Arial" w:cs="Arial"/>
        </w:rPr>
        <w:t xml:space="preserve"> </w:t>
      </w:r>
      <w:r w:rsidR="00A11DF0">
        <w:rPr>
          <w:rFonts w:ascii="Arial" w:hAnsi="Arial" w:cs="Arial"/>
        </w:rPr>
        <w:t xml:space="preserve">Een sleutelverklaring kan wellicht aangemerkt worden als </w:t>
      </w:r>
      <w:r w:rsidR="009B619A">
        <w:rPr>
          <w:rFonts w:ascii="Arial" w:hAnsi="Arial" w:cs="Arial"/>
        </w:rPr>
        <w:t xml:space="preserve">het </w:t>
      </w:r>
      <w:r w:rsidR="00A11DF0">
        <w:rPr>
          <w:rFonts w:ascii="Arial" w:hAnsi="Arial" w:cs="Arial"/>
        </w:rPr>
        <w:t xml:space="preserve">verkrijgen van meer dan </w:t>
      </w:r>
      <w:r w:rsidR="00A11DF0" w:rsidRPr="00A02D08">
        <w:rPr>
          <w:rFonts w:ascii="Arial" w:hAnsi="Arial" w:cs="Arial"/>
          <w:i/>
        </w:rPr>
        <w:t>uitsluitend</w:t>
      </w:r>
      <w:r w:rsidR="00A11DF0">
        <w:rPr>
          <w:rFonts w:ascii="Arial" w:hAnsi="Arial" w:cs="Arial"/>
        </w:rPr>
        <w:t xml:space="preserve"> een recht op levering. </w:t>
      </w:r>
      <w:r w:rsidR="00A11DF0" w:rsidRPr="00A02D08">
        <w:rPr>
          <w:rFonts w:ascii="Arial" w:hAnsi="Arial" w:cs="Arial"/>
        </w:rPr>
        <w:t>Door het ondertekenen van de sleutelverklaring wordt immers meer verkregen dan alleen een recht op levering, namelijk ook het recht om de onroerende zaak te mogen gebruiken voor verbouwing, schilderen e.d</w:t>
      </w:r>
      <w:r w:rsidR="00A04341">
        <w:rPr>
          <w:rFonts w:ascii="Arial" w:hAnsi="Arial" w:cs="Arial"/>
        </w:rPr>
        <w:t>.</w:t>
      </w:r>
      <w:r w:rsidRPr="00AF55FE">
        <w:rPr>
          <w:rFonts w:ascii="Arial" w:hAnsi="Arial" w:cs="Arial"/>
        </w:rPr>
        <w:t xml:space="preserve"> </w:t>
      </w:r>
    </w:p>
    <w:p w14:paraId="6C684BE4" w14:textId="77777777" w:rsidR="00786C7B" w:rsidRDefault="00786C7B" w:rsidP="005D569A">
      <w:pPr>
        <w:autoSpaceDE w:val="0"/>
        <w:autoSpaceDN w:val="0"/>
        <w:adjustRightInd w:val="0"/>
        <w:spacing w:before="0" w:beforeAutospacing="0" w:after="0" w:afterAutospacing="0" w:line="360" w:lineRule="auto"/>
        <w:rPr>
          <w:rFonts w:ascii="Arial" w:hAnsi="Arial" w:cs="Arial"/>
        </w:rPr>
      </w:pPr>
    </w:p>
    <w:p w14:paraId="78344E75" w14:textId="57DAF48E" w:rsidR="00AF55FE" w:rsidRDefault="009B619A" w:rsidP="00A02D08">
      <w:pPr>
        <w:autoSpaceDE w:val="0"/>
        <w:autoSpaceDN w:val="0"/>
        <w:adjustRightInd w:val="0"/>
        <w:spacing w:before="0" w:beforeAutospacing="0" w:after="0" w:afterAutospacing="0" w:line="360" w:lineRule="auto"/>
        <w:rPr>
          <w:rFonts w:ascii="Arial" w:hAnsi="Arial" w:cs="Arial"/>
        </w:rPr>
      </w:pPr>
      <w:r>
        <w:rPr>
          <w:rFonts w:ascii="Arial" w:hAnsi="Arial" w:cs="Arial"/>
        </w:rPr>
        <w:t>De kans b</w:t>
      </w:r>
      <w:r w:rsidR="006D5637">
        <w:rPr>
          <w:rFonts w:ascii="Arial" w:hAnsi="Arial" w:cs="Arial"/>
        </w:rPr>
        <w:t>estaat</w:t>
      </w:r>
      <w:r>
        <w:rPr>
          <w:rFonts w:ascii="Arial" w:hAnsi="Arial" w:cs="Arial"/>
        </w:rPr>
        <w:t xml:space="preserve"> dus </w:t>
      </w:r>
      <w:r w:rsidR="006D5637">
        <w:rPr>
          <w:rFonts w:ascii="Arial" w:hAnsi="Arial" w:cs="Arial"/>
        </w:rPr>
        <w:t xml:space="preserve">dat als een </w:t>
      </w:r>
      <w:r w:rsidR="0089447F">
        <w:rPr>
          <w:rFonts w:ascii="Arial" w:hAnsi="Arial" w:cs="Arial"/>
        </w:rPr>
        <w:t xml:space="preserve">uitgebreide </w:t>
      </w:r>
      <w:r w:rsidR="00AF55FE" w:rsidRPr="00AF55FE">
        <w:rPr>
          <w:rFonts w:ascii="Arial" w:hAnsi="Arial" w:cs="Arial"/>
        </w:rPr>
        <w:t>sleutelverklaring wordt overeengekomen,</w:t>
      </w:r>
      <w:r w:rsidR="006D5637">
        <w:rPr>
          <w:rFonts w:ascii="Arial" w:hAnsi="Arial" w:cs="Arial"/>
        </w:rPr>
        <w:t xml:space="preserve"> dit kan worden </w:t>
      </w:r>
      <w:r w:rsidR="00AF55FE" w:rsidRPr="00AF55FE">
        <w:rPr>
          <w:rFonts w:ascii="Arial" w:hAnsi="Arial" w:cs="Arial"/>
        </w:rPr>
        <w:t>beschouwd als een</w:t>
      </w:r>
      <w:r w:rsidR="00AF55FE">
        <w:rPr>
          <w:rFonts w:ascii="Arial" w:hAnsi="Arial" w:cs="Arial"/>
        </w:rPr>
        <w:t xml:space="preserve"> </w:t>
      </w:r>
      <w:r w:rsidR="00AF55FE" w:rsidRPr="00AF55FE">
        <w:rPr>
          <w:rFonts w:ascii="Arial" w:hAnsi="Arial" w:cs="Arial"/>
        </w:rPr>
        <w:t>economische eigendomsoverdracht. Formeel is dan direct overdrachtsbelasting verschuldigd. Het</w:t>
      </w:r>
      <w:r w:rsidR="008A0347">
        <w:rPr>
          <w:rFonts w:ascii="Arial" w:hAnsi="Arial" w:cs="Arial"/>
        </w:rPr>
        <w:t xml:space="preserve"> </w:t>
      </w:r>
      <w:r w:rsidR="00AF55FE" w:rsidRPr="00AF55FE">
        <w:rPr>
          <w:rFonts w:ascii="Arial" w:hAnsi="Arial" w:cs="Arial"/>
        </w:rPr>
        <w:t>is belangrijk om partijen daar (in voorkomende gevallen) nadrukkelijk op te wijzen. Als de</w:t>
      </w:r>
      <w:r w:rsidR="008A0347">
        <w:rPr>
          <w:rFonts w:ascii="Arial" w:hAnsi="Arial" w:cs="Arial"/>
        </w:rPr>
        <w:t xml:space="preserve"> </w:t>
      </w:r>
      <w:r w:rsidR="00AF55FE" w:rsidRPr="00AF55FE">
        <w:rPr>
          <w:rFonts w:ascii="Arial" w:hAnsi="Arial" w:cs="Arial"/>
        </w:rPr>
        <w:t>sleutelverklaring tot gevolg heeft dat</w:t>
      </w:r>
      <w:r w:rsidR="008A0347">
        <w:rPr>
          <w:rFonts w:ascii="Arial" w:hAnsi="Arial" w:cs="Arial"/>
        </w:rPr>
        <w:t xml:space="preserve"> </w:t>
      </w:r>
      <w:r w:rsidR="00AF55FE" w:rsidRPr="00AF55FE">
        <w:rPr>
          <w:rFonts w:ascii="Arial" w:hAnsi="Arial" w:cs="Arial"/>
        </w:rPr>
        <w:t>overdrachts</w:t>
      </w:r>
      <w:r w:rsidR="00AF55FE">
        <w:rPr>
          <w:rFonts w:ascii="Arial" w:hAnsi="Arial" w:cs="Arial"/>
        </w:rPr>
        <w:t xml:space="preserve">belasting is verschuldigd en de </w:t>
      </w:r>
      <w:r w:rsidR="00AF55FE" w:rsidRPr="00AF55FE">
        <w:rPr>
          <w:rFonts w:ascii="Arial" w:hAnsi="Arial" w:cs="Arial"/>
        </w:rPr>
        <w:t>sleutelverklaring</w:t>
      </w:r>
      <w:r w:rsidR="00AF55FE">
        <w:rPr>
          <w:rFonts w:ascii="Arial" w:hAnsi="Arial" w:cs="Arial"/>
        </w:rPr>
        <w:t xml:space="preserve"> </w:t>
      </w:r>
      <w:r w:rsidR="00AF55FE" w:rsidRPr="00AF55FE">
        <w:rPr>
          <w:rFonts w:ascii="Arial" w:hAnsi="Arial" w:cs="Arial"/>
        </w:rPr>
        <w:t xml:space="preserve">niet in een notariële akte is </w:t>
      </w:r>
      <w:r w:rsidR="00AF55FE" w:rsidRPr="008A0347">
        <w:rPr>
          <w:rFonts w:ascii="Arial" w:hAnsi="Arial" w:cs="Arial"/>
        </w:rPr>
        <w:t xml:space="preserve">vastgelegd, heeft dit ook gevolgen voor de verkoper. </w:t>
      </w:r>
      <w:r w:rsidR="008A0347" w:rsidRPr="008A0347">
        <w:rPr>
          <w:rFonts w:ascii="Arial" w:hAnsi="Arial" w:cs="Arial"/>
        </w:rPr>
        <w:t>Naast koper, is ook verkoper hoofdelijk aansprakelijk voor de betaling van de overdrachtsbelasting. Verkoper moet de economische overdracht binnen twee weken aan de Belastingdienst melden</w:t>
      </w:r>
      <w:r w:rsidR="008A0347">
        <w:rPr>
          <w:rFonts w:ascii="Arial" w:hAnsi="Arial" w:cs="Arial"/>
        </w:rPr>
        <w:t xml:space="preserve">. </w:t>
      </w:r>
      <w:r w:rsidR="008A0347" w:rsidRPr="008A0347">
        <w:rPr>
          <w:rFonts w:ascii="Arial" w:hAnsi="Arial" w:cs="Arial"/>
        </w:rPr>
        <w:t>Binnen 1 maand na de economische overdracht moet koper aangifte doen en de overdrachtsbelasting betalen.</w:t>
      </w:r>
      <w:r w:rsidR="008A0347">
        <w:rPr>
          <w:rFonts w:ascii="Arial" w:hAnsi="Arial" w:cs="Arial"/>
        </w:rPr>
        <w:t xml:space="preserve"> </w:t>
      </w:r>
      <w:r w:rsidR="00AF55FE" w:rsidRPr="00AF55FE">
        <w:rPr>
          <w:rFonts w:ascii="Arial" w:hAnsi="Arial" w:cs="Arial"/>
        </w:rPr>
        <w:t>Daarom verdient het aanbeveling om bij de</w:t>
      </w:r>
      <w:r w:rsidR="00AF55FE">
        <w:rPr>
          <w:rFonts w:ascii="Arial" w:hAnsi="Arial" w:cs="Arial"/>
        </w:rPr>
        <w:t xml:space="preserve"> </w:t>
      </w:r>
      <w:r w:rsidR="00AF55FE" w:rsidRPr="00AF55FE">
        <w:rPr>
          <w:rFonts w:ascii="Arial" w:hAnsi="Arial" w:cs="Arial"/>
        </w:rPr>
        <w:t xml:space="preserve">sleutelverklaring zekerheid van de koper te </w:t>
      </w:r>
      <w:r w:rsidR="00AF55FE" w:rsidRPr="00AF55FE">
        <w:rPr>
          <w:rFonts w:ascii="Arial" w:hAnsi="Arial" w:cs="Arial"/>
        </w:rPr>
        <w:lastRenderedPageBreak/>
        <w:t>verlangen voor de betaling van de</w:t>
      </w:r>
      <w:r w:rsidR="00AF55FE">
        <w:rPr>
          <w:rFonts w:ascii="Arial" w:hAnsi="Arial" w:cs="Arial"/>
        </w:rPr>
        <w:t xml:space="preserve"> </w:t>
      </w:r>
      <w:r w:rsidR="00AF55FE" w:rsidRPr="00AF55FE">
        <w:rPr>
          <w:rFonts w:ascii="Arial" w:hAnsi="Arial" w:cs="Arial"/>
        </w:rPr>
        <w:t>overdrachtsbelasting door middel van een depot of een bankgarantie.</w:t>
      </w:r>
    </w:p>
    <w:p w14:paraId="05E4C401" w14:textId="34401ABA" w:rsidR="00382060" w:rsidRDefault="00382060" w:rsidP="00A02D08">
      <w:pPr>
        <w:autoSpaceDE w:val="0"/>
        <w:autoSpaceDN w:val="0"/>
        <w:adjustRightInd w:val="0"/>
        <w:spacing w:before="0" w:beforeAutospacing="0" w:after="0" w:afterAutospacing="0" w:line="360" w:lineRule="auto"/>
        <w:rPr>
          <w:rFonts w:ascii="Arial" w:hAnsi="Arial" w:cs="Arial"/>
        </w:rPr>
      </w:pPr>
    </w:p>
    <w:p w14:paraId="1A4E2C89" w14:textId="121FFCB9" w:rsidR="00382060" w:rsidRPr="00805355" w:rsidRDefault="00382060" w:rsidP="00A02D08">
      <w:pPr>
        <w:autoSpaceDE w:val="0"/>
        <w:autoSpaceDN w:val="0"/>
        <w:adjustRightInd w:val="0"/>
        <w:spacing w:before="0" w:beforeAutospacing="0" w:after="0" w:afterAutospacing="0" w:line="360" w:lineRule="auto"/>
        <w:rPr>
          <w:rFonts w:ascii="Arial" w:hAnsi="Arial" w:cs="Arial"/>
          <w:u w:val="single"/>
        </w:rPr>
      </w:pPr>
      <w:r w:rsidRPr="00805355">
        <w:rPr>
          <w:rFonts w:ascii="Arial" w:hAnsi="Arial" w:cs="Arial"/>
        </w:rPr>
        <w:t>Uit de wetsgeschiedenis</w:t>
      </w:r>
      <w:r w:rsidR="004E38CF" w:rsidRPr="00805355">
        <w:rPr>
          <w:rStyle w:val="Voetnootmarkering"/>
          <w:rFonts w:ascii="Arial" w:hAnsi="Arial" w:cs="Arial"/>
        </w:rPr>
        <w:footnoteReference w:id="2"/>
      </w:r>
      <w:r w:rsidRPr="00805355">
        <w:rPr>
          <w:rFonts w:ascii="Arial" w:hAnsi="Arial" w:cs="Arial"/>
        </w:rPr>
        <w:t xml:space="preserve"> bij de wijzigingen in de Wet differentiatie overdrachtsbelasting (2021) blijkt dat de vrijstelling (0% startersvrijstelling) en het verlaagde tarief (2%) enkel van toepassing zijn op de verkrijging van de economische eigendom als ook </w:t>
      </w:r>
      <w:r w:rsidRPr="00805355">
        <w:rPr>
          <w:rFonts w:ascii="Arial" w:hAnsi="Arial" w:cs="Arial"/>
          <w:u w:val="single"/>
        </w:rPr>
        <w:t>tegelijkertijd</w:t>
      </w:r>
      <w:r w:rsidRPr="00805355">
        <w:rPr>
          <w:rFonts w:ascii="Arial" w:hAnsi="Arial" w:cs="Arial"/>
        </w:rPr>
        <w:t xml:space="preserve"> de juridische eigendom van een woning wordt verkregen. </w:t>
      </w:r>
      <w:r w:rsidR="00F40AB6" w:rsidRPr="00805355">
        <w:rPr>
          <w:rFonts w:ascii="Arial" w:hAnsi="Arial" w:cs="Arial"/>
        </w:rPr>
        <w:t>Wordt eerst de economisch eigendom verkregen en daarna de juridische eigendom, dan is op de verkrijging van de economische eigendom 8% overdrachtsbelasting verschuldigd en kan op de latere verkrijging van de juridische eigendom een vrijstelling</w:t>
      </w:r>
      <w:r w:rsidR="00EB330A" w:rsidRPr="00805355">
        <w:rPr>
          <w:rFonts w:ascii="Arial" w:hAnsi="Arial" w:cs="Arial"/>
        </w:rPr>
        <w:t xml:space="preserve"> (0%)</w:t>
      </w:r>
      <w:r w:rsidR="00F40AB6" w:rsidRPr="00805355">
        <w:rPr>
          <w:rFonts w:ascii="Arial" w:hAnsi="Arial" w:cs="Arial"/>
        </w:rPr>
        <w:t xml:space="preserve">, 2% of 8% </w:t>
      </w:r>
      <w:r w:rsidR="00AB4E6C" w:rsidRPr="00805355">
        <w:rPr>
          <w:rFonts w:ascii="Arial" w:hAnsi="Arial" w:cs="Arial"/>
        </w:rPr>
        <w:t xml:space="preserve">(2022, 10,4% per 2023) </w:t>
      </w:r>
      <w:r w:rsidR="00F40AB6" w:rsidRPr="00805355">
        <w:rPr>
          <w:rFonts w:ascii="Arial" w:hAnsi="Arial" w:cs="Arial"/>
        </w:rPr>
        <w:t xml:space="preserve">van toepassing zijn. Gebruikers van de (uitgebreide) sleutelverklaring dienen er, gelet op het hiervoor beschreven risico dat het toepassen van de (uitgebreide) sleutelverklaring als een economische eigendomsoverdracht kan worden beschouwd, rekening mee te houden dat zij bij het verschuldigd worden van overdrachtsbelasting door een economische eigendomsoverdracht </w:t>
      </w:r>
      <w:r w:rsidR="00F40AB6" w:rsidRPr="00805355">
        <w:rPr>
          <w:rFonts w:ascii="Arial" w:hAnsi="Arial" w:cs="Arial"/>
          <w:b/>
          <w:bCs/>
        </w:rPr>
        <w:t>in het algemene tarief van 8% (</w:t>
      </w:r>
      <w:r w:rsidR="00AB4E6C" w:rsidRPr="00805355">
        <w:rPr>
          <w:rFonts w:ascii="Arial" w:hAnsi="Arial" w:cs="Arial"/>
          <w:b/>
          <w:bCs/>
        </w:rPr>
        <w:t>2022, 10,4% per 2023</w:t>
      </w:r>
      <w:r w:rsidR="00F40AB6" w:rsidRPr="00805355">
        <w:rPr>
          <w:rFonts w:ascii="Arial" w:hAnsi="Arial" w:cs="Arial"/>
          <w:b/>
          <w:bCs/>
        </w:rPr>
        <w:t xml:space="preserve">) vallen. </w:t>
      </w:r>
    </w:p>
    <w:p w14:paraId="09B2CD2D" w14:textId="77777777" w:rsidR="00DB70F5" w:rsidRDefault="00DB70F5" w:rsidP="00A02D08">
      <w:pPr>
        <w:autoSpaceDE w:val="0"/>
        <w:autoSpaceDN w:val="0"/>
        <w:adjustRightInd w:val="0"/>
        <w:spacing w:before="0" w:beforeAutospacing="0" w:after="0" w:afterAutospacing="0" w:line="360" w:lineRule="auto"/>
        <w:rPr>
          <w:rFonts w:ascii="Arial" w:hAnsi="Arial" w:cs="Arial"/>
        </w:rPr>
      </w:pPr>
    </w:p>
    <w:p w14:paraId="2B75F5C4" w14:textId="77777777" w:rsidR="00AF55FE" w:rsidRPr="00AF55FE" w:rsidRDefault="00AF55FE" w:rsidP="00A02D08">
      <w:pPr>
        <w:autoSpaceDE w:val="0"/>
        <w:autoSpaceDN w:val="0"/>
        <w:adjustRightInd w:val="0"/>
        <w:spacing w:before="0" w:beforeAutospacing="0" w:after="0" w:afterAutospacing="0" w:line="360" w:lineRule="auto"/>
        <w:rPr>
          <w:rFonts w:ascii="Arial" w:hAnsi="Arial" w:cs="Arial"/>
        </w:rPr>
      </w:pPr>
      <w:r w:rsidRPr="00AF55FE">
        <w:rPr>
          <w:rFonts w:ascii="Arial" w:hAnsi="Arial" w:cs="Arial"/>
        </w:rPr>
        <w:t>Indien als gevolg van de sleutelverklaring overdrachtsbelasting verschuldigd is, zal bij de</w:t>
      </w:r>
    </w:p>
    <w:p w14:paraId="67621F71" w14:textId="77777777" w:rsidR="00AF55FE" w:rsidRDefault="00AF55FE" w:rsidP="00A02D08">
      <w:pPr>
        <w:autoSpaceDE w:val="0"/>
        <w:autoSpaceDN w:val="0"/>
        <w:adjustRightInd w:val="0"/>
        <w:spacing w:before="0" w:beforeAutospacing="0" w:after="0" w:afterAutospacing="0" w:line="360" w:lineRule="auto"/>
        <w:rPr>
          <w:rFonts w:ascii="Arial" w:hAnsi="Arial" w:cs="Arial"/>
        </w:rPr>
      </w:pPr>
      <w:r w:rsidRPr="00AF55FE">
        <w:rPr>
          <w:rFonts w:ascii="Arial" w:hAnsi="Arial" w:cs="Arial"/>
        </w:rPr>
        <w:t>juridische levering in beginsel niet opnieuw overdrachtsbelasting geheven worden. Bij de juridische</w:t>
      </w:r>
      <w:r>
        <w:rPr>
          <w:rFonts w:ascii="Arial" w:hAnsi="Arial" w:cs="Arial"/>
        </w:rPr>
        <w:t xml:space="preserve"> </w:t>
      </w:r>
      <w:r w:rsidRPr="00AF55FE">
        <w:rPr>
          <w:rFonts w:ascii="Arial" w:hAnsi="Arial" w:cs="Arial"/>
        </w:rPr>
        <w:t>levering aan dezelfde persoon als degene met wie de sleutelverklaring is overeengekomen</w:t>
      </w:r>
      <w:r>
        <w:rPr>
          <w:rFonts w:ascii="Arial" w:hAnsi="Arial" w:cs="Arial"/>
        </w:rPr>
        <w:t xml:space="preserve"> </w:t>
      </w:r>
      <w:r w:rsidRPr="00AF55FE">
        <w:rPr>
          <w:rFonts w:ascii="Arial" w:hAnsi="Arial" w:cs="Arial"/>
        </w:rPr>
        <w:t>wordt namelijk alleen overdrachtsbelasting geheven over een eventuele stijging van de waarde</w:t>
      </w:r>
      <w:r>
        <w:rPr>
          <w:rFonts w:ascii="Arial" w:hAnsi="Arial" w:cs="Arial"/>
        </w:rPr>
        <w:t xml:space="preserve"> </w:t>
      </w:r>
      <w:r w:rsidRPr="00AF55FE">
        <w:rPr>
          <w:rFonts w:ascii="Arial" w:hAnsi="Arial" w:cs="Arial"/>
        </w:rPr>
        <w:t>van de onroerende zaak in de periode tussen de economische en de juridische levering, mits bij de</w:t>
      </w:r>
      <w:r>
        <w:rPr>
          <w:rFonts w:ascii="Arial" w:hAnsi="Arial" w:cs="Arial"/>
        </w:rPr>
        <w:t xml:space="preserve"> </w:t>
      </w:r>
      <w:r w:rsidRPr="00AF55FE">
        <w:rPr>
          <w:rFonts w:ascii="Arial" w:hAnsi="Arial" w:cs="Arial"/>
        </w:rPr>
        <w:t>feitelijke levering de belasting ook daadwerkelijk is betaald. Het doet er daarbij niet toe hoe</w:t>
      </w:r>
      <w:r>
        <w:rPr>
          <w:rFonts w:ascii="Arial" w:hAnsi="Arial" w:cs="Arial"/>
        </w:rPr>
        <w:t xml:space="preserve"> </w:t>
      </w:r>
      <w:r w:rsidRPr="00AF55FE">
        <w:rPr>
          <w:rFonts w:ascii="Arial" w:hAnsi="Arial" w:cs="Arial"/>
        </w:rPr>
        <w:t>lang</w:t>
      </w:r>
      <w:r>
        <w:rPr>
          <w:rFonts w:ascii="Arial" w:hAnsi="Arial" w:cs="Arial"/>
        </w:rPr>
        <w:t xml:space="preserve"> </w:t>
      </w:r>
      <w:r w:rsidRPr="00AF55FE">
        <w:rPr>
          <w:rFonts w:ascii="Arial" w:hAnsi="Arial" w:cs="Arial"/>
        </w:rPr>
        <w:t>die periode tussen de sleutelverklaring en de juridische levering duurt. De lengte van die periode</w:t>
      </w:r>
      <w:r>
        <w:rPr>
          <w:rFonts w:ascii="Arial" w:hAnsi="Arial" w:cs="Arial"/>
        </w:rPr>
        <w:t xml:space="preserve"> </w:t>
      </w:r>
      <w:r w:rsidRPr="00AF55FE">
        <w:rPr>
          <w:rFonts w:ascii="Arial" w:hAnsi="Arial" w:cs="Arial"/>
        </w:rPr>
        <w:t>is wel van belang bij een levering aan een derde, bijvoorbeeld in geval van doorverkoop.</w:t>
      </w:r>
      <w:r w:rsidR="001E00D8">
        <w:rPr>
          <w:rFonts w:ascii="Arial" w:hAnsi="Arial" w:cs="Arial"/>
        </w:rPr>
        <w:t xml:space="preserve"> </w:t>
      </w:r>
      <w:r w:rsidRPr="00AF55FE">
        <w:rPr>
          <w:rFonts w:ascii="Arial" w:hAnsi="Arial" w:cs="Arial"/>
        </w:rPr>
        <w:t xml:space="preserve">Deze </w:t>
      </w:r>
      <w:r w:rsidR="004401D6" w:rsidRPr="001E00D8">
        <w:rPr>
          <w:rFonts w:ascii="Arial" w:hAnsi="Arial" w:cs="Arial"/>
        </w:rPr>
        <w:t>doorverkoop</w:t>
      </w:r>
      <w:r w:rsidRPr="00AF55FE">
        <w:rPr>
          <w:rFonts w:ascii="Arial" w:hAnsi="Arial" w:cs="Arial"/>
        </w:rPr>
        <w:t>termijn gaat in beginsel lopen vanaf de</w:t>
      </w:r>
      <w:r>
        <w:rPr>
          <w:rFonts w:ascii="Arial" w:hAnsi="Arial" w:cs="Arial"/>
        </w:rPr>
        <w:t xml:space="preserve"> </w:t>
      </w:r>
      <w:r w:rsidRPr="00AF55FE">
        <w:rPr>
          <w:rFonts w:ascii="Arial" w:hAnsi="Arial" w:cs="Arial"/>
        </w:rPr>
        <w:t>datum van de sleutelverklaring.</w:t>
      </w:r>
    </w:p>
    <w:p w14:paraId="3A5D1794" w14:textId="77777777" w:rsidR="004401D6" w:rsidRPr="001E00D8" w:rsidRDefault="00DE62BA" w:rsidP="00A02D08">
      <w:pPr>
        <w:spacing w:after="0" w:afterAutospacing="0" w:line="360" w:lineRule="auto"/>
        <w:rPr>
          <w:rFonts w:ascii="Arial" w:hAnsi="Arial" w:cs="Arial"/>
        </w:rPr>
      </w:pPr>
      <w:r w:rsidRPr="001E00D8">
        <w:rPr>
          <w:rFonts w:ascii="Arial" w:hAnsi="Arial" w:cs="Arial"/>
        </w:rPr>
        <w:t xml:space="preserve">Overige </w:t>
      </w:r>
      <w:r w:rsidR="004401D6" w:rsidRPr="001E00D8">
        <w:rPr>
          <w:rFonts w:ascii="Arial" w:hAnsi="Arial" w:cs="Arial"/>
        </w:rPr>
        <w:t>punten</w:t>
      </w:r>
      <w:r w:rsidRPr="001E00D8">
        <w:rPr>
          <w:rFonts w:ascii="Arial" w:hAnsi="Arial" w:cs="Arial"/>
        </w:rPr>
        <w:t xml:space="preserve"> waar partijen duidelijke afspraken over moeten maken zijn de volgende</w:t>
      </w:r>
      <w:r w:rsidR="004401D6" w:rsidRPr="001E00D8">
        <w:rPr>
          <w:rFonts w:ascii="Arial" w:hAnsi="Arial" w:cs="Arial"/>
        </w:rPr>
        <w:t>:</w:t>
      </w:r>
    </w:p>
    <w:p w14:paraId="205E6754" w14:textId="77777777" w:rsidR="004401D6" w:rsidRDefault="00DE62BA" w:rsidP="00A02D08">
      <w:pPr>
        <w:pStyle w:val="Lijstalinea"/>
        <w:numPr>
          <w:ilvl w:val="0"/>
          <w:numId w:val="1"/>
        </w:numPr>
        <w:spacing w:after="0" w:afterAutospacing="0" w:line="360" w:lineRule="auto"/>
        <w:rPr>
          <w:rFonts w:ascii="Arial" w:hAnsi="Arial" w:cs="Arial"/>
        </w:rPr>
      </w:pPr>
      <w:r w:rsidRPr="001E00D8">
        <w:rPr>
          <w:rFonts w:ascii="Arial" w:hAnsi="Arial" w:cs="Arial"/>
        </w:rPr>
        <w:lastRenderedPageBreak/>
        <w:t>Wie betaalt de e</w:t>
      </w:r>
      <w:r w:rsidR="004401D6" w:rsidRPr="001E00D8">
        <w:rPr>
          <w:rFonts w:ascii="Arial" w:hAnsi="Arial" w:cs="Arial"/>
        </w:rPr>
        <w:t>nergiekosten en zakelijke lasten</w:t>
      </w:r>
      <w:r w:rsidRPr="001E00D8">
        <w:rPr>
          <w:rFonts w:ascii="Arial" w:hAnsi="Arial" w:cs="Arial"/>
        </w:rPr>
        <w:t>?</w:t>
      </w:r>
      <w:r w:rsidR="00DB70F5">
        <w:rPr>
          <w:rFonts w:ascii="Arial" w:hAnsi="Arial" w:cs="Arial"/>
        </w:rPr>
        <w:t xml:space="preserve"> (artikel 7 van de uitgebreide sleutelverklaring) </w:t>
      </w:r>
    </w:p>
    <w:p w14:paraId="60AEBDD5" w14:textId="77777777" w:rsidR="006E5BDC" w:rsidRPr="006932D3" w:rsidRDefault="006932D3" w:rsidP="006932D3">
      <w:pPr>
        <w:pStyle w:val="Lijstalinea"/>
        <w:numPr>
          <w:ilvl w:val="0"/>
          <w:numId w:val="1"/>
        </w:numPr>
        <w:spacing w:line="360" w:lineRule="auto"/>
        <w:rPr>
          <w:rFonts w:ascii="Arial" w:hAnsi="Arial" w:cs="Arial"/>
        </w:rPr>
      </w:pPr>
      <w:r w:rsidRPr="006932D3">
        <w:rPr>
          <w:rFonts w:ascii="Arial" w:hAnsi="Arial" w:cs="Arial"/>
        </w:rPr>
        <w:t>In artikel 2</w:t>
      </w:r>
      <w:r w:rsidR="00824980">
        <w:rPr>
          <w:rFonts w:ascii="Arial" w:hAnsi="Arial" w:cs="Arial"/>
        </w:rPr>
        <w:t xml:space="preserve"> van de uitgebreide sleutelverklaring</w:t>
      </w:r>
      <w:r w:rsidRPr="006932D3">
        <w:rPr>
          <w:rFonts w:ascii="Arial" w:hAnsi="Arial" w:cs="Arial"/>
        </w:rPr>
        <w:t xml:space="preserve"> staat vermeld dat koper onder geen beding de gekochte onroe</w:t>
      </w:r>
      <w:r w:rsidRPr="006932D3">
        <w:rPr>
          <w:rFonts w:ascii="Arial" w:hAnsi="Arial" w:cs="Arial"/>
        </w:rPr>
        <w:softHyphen/>
        <w:t>rende zaak, voordat de koop</w:t>
      </w:r>
      <w:r w:rsidRPr="006932D3">
        <w:rPr>
          <w:rFonts w:ascii="Arial" w:hAnsi="Arial" w:cs="Arial"/>
        </w:rPr>
        <w:softHyphen/>
        <w:t xml:space="preserve">som is voldaan, in enigerlei opzicht als woning mag gebruiken of in gebruik aan andere mag afstaan.  Daarnaast staat in artikel 4 van de uitgebreide sleutelverklaring vermeld dat de feitelijke levering van de onroerende zaak plaatsvindt  met ingang van het moment van het tekenen van de akte van levering. </w:t>
      </w:r>
      <w:r>
        <w:rPr>
          <w:rFonts w:ascii="Arial" w:hAnsi="Arial" w:cs="Arial"/>
        </w:rPr>
        <w:t xml:space="preserve">Deze twee artikelen zijn opgenomen om ervoor te zorgdragen dat er geen sprake is van een economische overdracht. Of dit standhoudt is zeer de vraag gezien bovenstaande toelichting op de sleutelverklaring. </w:t>
      </w:r>
    </w:p>
    <w:p w14:paraId="2AB576B0" w14:textId="77777777" w:rsidR="004401D6" w:rsidRPr="001E00D8" w:rsidRDefault="00DE62BA" w:rsidP="00A02D08">
      <w:pPr>
        <w:pStyle w:val="Lijstalinea"/>
        <w:numPr>
          <w:ilvl w:val="0"/>
          <w:numId w:val="1"/>
        </w:numPr>
        <w:spacing w:after="0" w:afterAutospacing="0" w:line="360" w:lineRule="auto"/>
        <w:rPr>
          <w:rFonts w:ascii="Arial" w:hAnsi="Arial" w:cs="Arial"/>
        </w:rPr>
      </w:pPr>
      <w:r w:rsidRPr="001E00D8">
        <w:rPr>
          <w:rFonts w:ascii="Arial" w:hAnsi="Arial" w:cs="Arial"/>
        </w:rPr>
        <w:t>Wie is aansprakelijk voor schade tu</w:t>
      </w:r>
      <w:r w:rsidR="004401D6" w:rsidRPr="001E00D8">
        <w:rPr>
          <w:rFonts w:ascii="Arial" w:hAnsi="Arial" w:cs="Arial"/>
        </w:rPr>
        <w:t>ssen sleuteloverdracht en notariële overdracht</w:t>
      </w:r>
      <w:r w:rsidRPr="001E00D8">
        <w:rPr>
          <w:rFonts w:ascii="Arial" w:hAnsi="Arial" w:cs="Arial"/>
        </w:rPr>
        <w:t>?</w:t>
      </w:r>
      <w:r w:rsidR="00DB70F5">
        <w:rPr>
          <w:rFonts w:ascii="Arial" w:hAnsi="Arial" w:cs="Arial"/>
        </w:rPr>
        <w:t xml:space="preserve"> (artikel </w:t>
      </w:r>
      <w:r w:rsidR="00FC77FA">
        <w:rPr>
          <w:rFonts w:ascii="Arial" w:hAnsi="Arial" w:cs="Arial"/>
        </w:rPr>
        <w:t>5</w:t>
      </w:r>
      <w:r w:rsidR="00DB70F5">
        <w:rPr>
          <w:rFonts w:ascii="Arial" w:hAnsi="Arial" w:cs="Arial"/>
        </w:rPr>
        <w:t xml:space="preserve"> van de uitgebreide sleutelverklaring)</w:t>
      </w:r>
    </w:p>
    <w:p w14:paraId="0E96FD68" w14:textId="77777777" w:rsidR="004401D6" w:rsidRPr="001E00D8" w:rsidRDefault="004401D6" w:rsidP="00A02D08">
      <w:pPr>
        <w:pStyle w:val="Lijstalinea"/>
        <w:numPr>
          <w:ilvl w:val="0"/>
          <w:numId w:val="1"/>
        </w:numPr>
        <w:spacing w:after="0" w:afterAutospacing="0" w:line="360" w:lineRule="auto"/>
        <w:rPr>
          <w:rFonts w:ascii="Arial" w:hAnsi="Arial" w:cs="Arial"/>
        </w:rPr>
      </w:pPr>
      <w:r w:rsidRPr="001E00D8">
        <w:rPr>
          <w:rFonts w:ascii="Arial" w:hAnsi="Arial" w:cs="Arial"/>
        </w:rPr>
        <w:t xml:space="preserve">Heeft </w:t>
      </w:r>
      <w:r w:rsidR="00DE62BA" w:rsidRPr="001E00D8">
        <w:rPr>
          <w:rFonts w:ascii="Arial" w:hAnsi="Arial" w:cs="Arial"/>
        </w:rPr>
        <w:t xml:space="preserve">de </w:t>
      </w:r>
      <w:r w:rsidRPr="001E00D8">
        <w:rPr>
          <w:rFonts w:ascii="Arial" w:hAnsi="Arial" w:cs="Arial"/>
        </w:rPr>
        <w:t xml:space="preserve">verkoper toestemming van </w:t>
      </w:r>
      <w:r w:rsidR="00DE62BA" w:rsidRPr="001E00D8">
        <w:rPr>
          <w:rFonts w:ascii="Arial" w:hAnsi="Arial" w:cs="Arial"/>
        </w:rPr>
        <w:t>zijn bank</w:t>
      </w:r>
      <w:r w:rsidRPr="001E00D8">
        <w:rPr>
          <w:rFonts w:ascii="Arial" w:hAnsi="Arial" w:cs="Arial"/>
        </w:rPr>
        <w:t xml:space="preserve"> voor het in gebruik geven van de woning aan een ander?</w:t>
      </w:r>
    </w:p>
    <w:p w14:paraId="51842C7D" w14:textId="77777777" w:rsidR="004401D6" w:rsidRPr="001E00D8" w:rsidRDefault="00DE62BA" w:rsidP="00A02D08">
      <w:pPr>
        <w:pStyle w:val="Lijstalinea"/>
        <w:numPr>
          <w:ilvl w:val="0"/>
          <w:numId w:val="1"/>
        </w:numPr>
        <w:spacing w:after="0" w:afterAutospacing="0" w:line="360" w:lineRule="auto"/>
        <w:rPr>
          <w:rFonts w:ascii="Arial" w:hAnsi="Arial" w:cs="Arial"/>
        </w:rPr>
      </w:pPr>
      <w:r w:rsidRPr="001E00D8">
        <w:rPr>
          <w:rFonts w:ascii="Arial" w:hAnsi="Arial" w:cs="Arial"/>
        </w:rPr>
        <w:t xml:space="preserve">Is de woning goed verzekerd? </w:t>
      </w:r>
      <w:r w:rsidR="00DB70F5">
        <w:rPr>
          <w:rFonts w:ascii="Arial" w:hAnsi="Arial" w:cs="Arial"/>
        </w:rPr>
        <w:t>(artikel 6 van de uitgebreide sleutelverklaring). Geadviseerd wordt om, naast verkoper, ook koper de onroerende zaak te laten verzekeren</w:t>
      </w:r>
      <w:r w:rsidR="004053AA">
        <w:rPr>
          <w:rFonts w:ascii="Arial" w:hAnsi="Arial" w:cs="Arial"/>
        </w:rPr>
        <w:t xml:space="preserve">. Koper dient deze verzekering af te sluiten bij dezelfde verzekeraar als verkoper. Een discussie tussen verzekeraars wie het risico draag wordt daarmee voorkomen. Indien de koper de woning niet kan verzekeren omdat hij nog geen eigenaar is, zal verkoper </w:t>
      </w:r>
      <w:r w:rsidR="004401D6" w:rsidRPr="001E00D8">
        <w:rPr>
          <w:rFonts w:ascii="Arial" w:hAnsi="Arial" w:cs="Arial"/>
        </w:rPr>
        <w:t xml:space="preserve">moeten </w:t>
      </w:r>
      <w:r w:rsidR="004053AA">
        <w:rPr>
          <w:rFonts w:ascii="Arial" w:hAnsi="Arial" w:cs="Arial"/>
        </w:rPr>
        <w:t>navr</w:t>
      </w:r>
      <w:r w:rsidR="004401D6" w:rsidRPr="001E00D8">
        <w:rPr>
          <w:rFonts w:ascii="Arial" w:hAnsi="Arial" w:cs="Arial"/>
        </w:rPr>
        <w:t>agen bij zijn verzekeraar of het is toegestaan de woning aan een ander in gebruik te geven</w:t>
      </w:r>
      <w:r w:rsidR="004053AA">
        <w:rPr>
          <w:rFonts w:ascii="Arial" w:hAnsi="Arial" w:cs="Arial"/>
        </w:rPr>
        <w:t xml:space="preserve">. Daarnaast moet verkoper navragen of schade welke wordt veroorzaakt door koper onder de dekking valt van de polis. </w:t>
      </w:r>
    </w:p>
    <w:p w14:paraId="56AB899B" w14:textId="77777777" w:rsidR="00DB70F5" w:rsidRDefault="00DE62BA" w:rsidP="00A02D08">
      <w:pPr>
        <w:pStyle w:val="Lijstalinea"/>
        <w:numPr>
          <w:ilvl w:val="0"/>
          <w:numId w:val="1"/>
        </w:numPr>
        <w:spacing w:after="0" w:afterAutospacing="0" w:line="360" w:lineRule="auto"/>
        <w:rPr>
          <w:rFonts w:ascii="Arial" w:hAnsi="Arial" w:cs="Arial"/>
        </w:rPr>
      </w:pPr>
      <w:r w:rsidRPr="001E00D8">
        <w:rPr>
          <w:rFonts w:ascii="Arial" w:hAnsi="Arial" w:cs="Arial"/>
        </w:rPr>
        <w:t>Indien</w:t>
      </w:r>
      <w:r w:rsidR="004401D6" w:rsidRPr="001E00D8">
        <w:rPr>
          <w:rFonts w:ascii="Arial" w:hAnsi="Arial" w:cs="Arial"/>
        </w:rPr>
        <w:t xml:space="preserve"> koper aan verkoper een vergoeding betaalt voor het </w:t>
      </w:r>
      <w:r w:rsidRPr="001E00D8">
        <w:rPr>
          <w:rFonts w:ascii="Arial" w:hAnsi="Arial" w:cs="Arial"/>
        </w:rPr>
        <w:t xml:space="preserve">eerder dan afgesproken </w:t>
      </w:r>
      <w:r w:rsidR="004401D6" w:rsidRPr="001E00D8">
        <w:rPr>
          <w:rFonts w:ascii="Arial" w:hAnsi="Arial" w:cs="Arial"/>
        </w:rPr>
        <w:t>in gebruik mogen nemen van de woning</w:t>
      </w:r>
      <w:r w:rsidR="00436453" w:rsidRPr="001E00D8">
        <w:rPr>
          <w:rFonts w:ascii="Arial" w:hAnsi="Arial" w:cs="Arial"/>
        </w:rPr>
        <w:t>,</w:t>
      </w:r>
      <w:r w:rsidR="004401D6" w:rsidRPr="001E00D8">
        <w:rPr>
          <w:rFonts w:ascii="Arial" w:hAnsi="Arial" w:cs="Arial"/>
        </w:rPr>
        <w:t xml:space="preserve"> dan bestaat het risico dat er sprake is van een huurovereenkomst.</w:t>
      </w:r>
      <w:r w:rsidRPr="001E00D8">
        <w:rPr>
          <w:rFonts w:ascii="Arial" w:hAnsi="Arial" w:cs="Arial"/>
        </w:rPr>
        <w:t xml:space="preserve"> Het beste is dus om koper voor die periode geen vergoeding te laten betalen. </w:t>
      </w:r>
    </w:p>
    <w:p w14:paraId="0DCAE31E" w14:textId="77777777" w:rsidR="00FC5DF7" w:rsidRPr="00FC5DF7" w:rsidRDefault="00FC5DF7" w:rsidP="00FC5DF7">
      <w:pPr>
        <w:pStyle w:val="Lijstalinea"/>
        <w:numPr>
          <w:ilvl w:val="0"/>
          <w:numId w:val="1"/>
        </w:numPr>
        <w:autoSpaceDE w:val="0"/>
        <w:autoSpaceDN w:val="0"/>
        <w:adjustRightInd w:val="0"/>
        <w:spacing w:before="0" w:beforeAutospacing="0" w:after="0" w:afterAutospacing="0" w:line="360" w:lineRule="auto"/>
        <w:rPr>
          <w:rFonts w:ascii="Arial" w:hAnsi="Arial" w:cs="Arial"/>
        </w:rPr>
      </w:pPr>
      <w:r w:rsidRPr="00FC5DF7">
        <w:rPr>
          <w:rFonts w:ascii="Arial" w:hAnsi="Arial" w:cs="Arial"/>
        </w:rPr>
        <w:t xml:space="preserve">als het een echtelijke woning betreft voor de sleutelverklaring </w:t>
      </w:r>
      <w:r>
        <w:rPr>
          <w:rFonts w:ascii="Arial" w:hAnsi="Arial" w:cs="Arial"/>
        </w:rPr>
        <w:t xml:space="preserve">is </w:t>
      </w:r>
      <w:r w:rsidRPr="00FC5DF7">
        <w:rPr>
          <w:rFonts w:ascii="Arial" w:hAnsi="Arial" w:cs="Arial"/>
        </w:rPr>
        <w:t>ook de toestemming van de echtgenoot of geregistreerde partner vereist is (artikel 1:88 Burgerlijk Wetboek).</w:t>
      </w:r>
    </w:p>
    <w:p w14:paraId="3B77A747" w14:textId="77777777" w:rsidR="00DE62BA" w:rsidRPr="001E00D8" w:rsidRDefault="00DE62BA" w:rsidP="00A02D08">
      <w:pPr>
        <w:spacing w:after="0" w:afterAutospacing="0" w:line="360" w:lineRule="auto"/>
        <w:rPr>
          <w:rFonts w:ascii="Arial" w:hAnsi="Arial" w:cs="Arial"/>
        </w:rPr>
      </w:pPr>
      <w:r w:rsidRPr="001E00D8">
        <w:rPr>
          <w:rFonts w:ascii="Arial" w:hAnsi="Arial" w:cs="Arial"/>
        </w:rPr>
        <w:lastRenderedPageBreak/>
        <w:t>Werken met een sleutelverklaring is dus ten strengste af te raden. Besluiten partijen toch met een sleutelverklaring te willen werken, leg de afspraken dan goed vast en wijs partijen op de hierboven genoemde risico’s.</w:t>
      </w:r>
    </w:p>
    <w:p w14:paraId="78591D2A" w14:textId="77777777" w:rsidR="004401D6" w:rsidRPr="00AF55FE" w:rsidRDefault="004401D6" w:rsidP="00A02D08">
      <w:pPr>
        <w:spacing w:before="0" w:beforeAutospacing="0" w:line="360" w:lineRule="auto"/>
        <w:rPr>
          <w:rFonts w:ascii="Arial" w:hAnsi="Arial" w:cs="Arial"/>
        </w:rPr>
      </w:pPr>
    </w:p>
    <w:sectPr w:rsidR="004401D6" w:rsidRPr="00AF55FE" w:rsidSect="002D6DC0">
      <w:headerReference w:type="default" r:id="rId8"/>
      <w:footerReference w:type="default" r:id="rId9"/>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83110" w14:textId="77777777" w:rsidR="00BA251E" w:rsidRDefault="00BA251E" w:rsidP="00AF55FE">
      <w:pPr>
        <w:spacing w:before="0" w:after="0"/>
      </w:pPr>
      <w:r>
        <w:separator/>
      </w:r>
    </w:p>
  </w:endnote>
  <w:endnote w:type="continuationSeparator" w:id="0">
    <w:p w14:paraId="111E7171" w14:textId="77777777" w:rsidR="00BA251E" w:rsidRDefault="00BA251E" w:rsidP="00AF55FE">
      <w:pPr>
        <w:spacing w:before="0" w:after="0"/>
      </w:pPr>
      <w:r>
        <w:continuationSeparator/>
      </w:r>
    </w:p>
  </w:endnote>
  <w:endnote w:type="continuationNotice" w:id="1">
    <w:p w14:paraId="152D753E" w14:textId="77777777" w:rsidR="00BA251E" w:rsidRDefault="00BA251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A6E66" w14:textId="77777777" w:rsidR="004401D6" w:rsidRDefault="004401D6" w:rsidP="002D6DC0">
    <w:pPr>
      <w:pStyle w:val="Voettekst"/>
      <w:spacing w:beforeAutospacing="0" w:afterAutospacing="0"/>
      <w:ind w:left="-1417"/>
    </w:pPr>
    <w:r>
      <w:rPr>
        <w:noProof/>
        <w:lang w:eastAsia="nl-NL"/>
      </w:rPr>
      <w:drawing>
        <wp:inline distT="0" distB="0" distL="0" distR="0" wp14:anchorId="3D13CAB1" wp14:editId="3B53AE82">
          <wp:extent cx="7581263" cy="904875"/>
          <wp:effectExtent l="19050" t="0" r="637" b="0"/>
          <wp:docPr id="3" name="Afbeelding 1" descr="C:\Documents and Settings\kerssebooma\Local Settings\Temporary Internet Files\Content.Outlook\QT4NRWYP\Erecode NVM onderk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C:\Documents and Settings\kerssebooma\Local Settings\Temporary Internet Files\Content.Outlook\QT4NRWYP\Erecode NVM onderkant.gif"/>
                  <pic:cNvPicPr>
                    <a:picLocks noChangeAspect="1" noChangeArrowheads="1"/>
                  </pic:cNvPicPr>
                </pic:nvPicPr>
                <pic:blipFill>
                  <a:blip r:embed="rId1"/>
                  <a:srcRect/>
                  <a:stretch>
                    <a:fillRect/>
                  </a:stretch>
                </pic:blipFill>
                <pic:spPr bwMode="auto">
                  <a:xfrm>
                    <a:off x="0" y="0"/>
                    <a:ext cx="7617423" cy="909191"/>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89751" w14:textId="77777777" w:rsidR="00BA251E" w:rsidRDefault="00BA251E" w:rsidP="00AF55FE">
      <w:pPr>
        <w:spacing w:before="0" w:after="0"/>
      </w:pPr>
      <w:r>
        <w:separator/>
      </w:r>
    </w:p>
  </w:footnote>
  <w:footnote w:type="continuationSeparator" w:id="0">
    <w:p w14:paraId="63107E74" w14:textId="77777777" w:rsidR="00BA251E" w:rsidRDefault="00BA251E" w:rsidP="00AF55FE">
      <w:pPr>
        <w:spacing w:before="0" w:after="0"/>
      </w:pPr>
      <w:r>
        <w:continuationSeparator/>
      </w:r>
    </w:p>
  </w:footnote>
  <w:footnote w:type="continuationNotice" w:id="1">
    <w:p w14:paraId="6E6C2C5B" w14:textId="77777777" w:rsidR="00BA251E" w:rsidRDefault="00BA251E">
      <w:pPr>
        <w:spacing w:before="0" w:after="0"/>
      </w:pPr>
    </w:p>
  </w:footnote>
  <w:footnote w:id="2">
    <w:p w14:paraId="7E4FCD73" w14:textId="2CEB944A" w:rsidR="004E38CF" w:rsidRDefault="004E38CF">
      <w:pPr>
        <w:pStyle w:val="Voetnoottekst"/>
      </w:pPr>
      <w:r>
        <w:rPr>
          <w:rStyle w:val="Voetnootmarkering"/>
        </w:rPr>
        <w:footnoteRef/>
      </w:r>
      <w:r>
        <w:t xml:space="preserve"> </w:t>
      </w:r>
      <w:r w:rsidRPr="00E40355">
        <w:rPr>
          <w:i/>
          <w:iCs/>
        </w:rPr>
        <w:t>Tweede kamer, vergaderjaar 2020-2021, 35576, nr. 6, p</w:t>
      </w:r>
      <w:r w:rsidR="00F04508" w:rsidRPr="00E40355">
        <w:rPr>
          <w:i/>
          <w:iCs/>
        </w:rPr>
        <w:t>. 31.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981EE" w14:textId="1C30414A" w:rsidR="004401D6" w:rsidRDefault="004401D6" w:rsidP="00AF55FE">
    <w:pPr>
      <w:tabs>
        <w:tab w:val="left" w:pos="6300"/>
      </w:tabs>
      <w:spacing w:after="0" w:afterAutospacing="0"/>
      <w:rPr>
        <w:rFonts w:ascii="Arial" w:hAnsi="Arial" w:cs="Arial"/>
        <w:b/>
        <w:noProof/>
        <w:color w:val="548DD4"/>
        <w:sz w:val="40"/>
        <w:szCs w:val="40"/>
      </w:rPr>
    </w:pPr>
    <w:r>
      <w:rPr>
        <w:rFonts w:ascii="Arial" w:hAnsi="Arial" w:cs="Arial"/>
        <w:b/>
        <w:noProof/>
        <w:color w:val="548DD4"/>
        <w:sz w:val="40"/>
        <w:szCs w:val="40"/>
        <w:lang w:eastAsia="nl-NL"/>
      </w:rPr>
      <w:drawing>
        <wp:anchor distT="0" distB="0" distL="114300" distR="114300" simplePos="0" relativeHeight="251660288" behindDoc="0" locked="0" layoutInCell="1" allowOverlap="1" wp14:anchorId="267EC35E" wp14:editId="6819B3CE">
          <wp:simplePos x="0" y="0"/>
          <wp:positionH relativeFrom="margin">
            <wp:posOffset>5158105</wp:posOffset>
          </wp:positionH>
          <wp:positionV relativeFrom="margin">
            <wp:posOffset>-1055370</wp:posOffset>
          </wp:positionV>
          <wp:extent cx="714375" cy="876300"/>
          <wp:effectExtent l="19050" t="0" r="9525" b="0"/>
          <wp:wrapSquare wrapText="bothSides"/>
          <wp:docPr id="1" name="Afbeelding 3" descr="cid:image001.gif@01CAB08F.B7DEE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descr="cid:image001.gif@01CAB08F.B7DEE310"/>
                  <pic:cNvPicPr>
                    <a:picLocks noChangeAspect="1" noChangeArrowheads="1"/>
                  </pic:cNvPicPr>
                </pic:nvPicPr>
                <pic:blipFill>
                  <a:blip r:embed="rId1" r:link="rId2"/>
                  <a:srcRect/>
                  <a:stretch>
                    <a:fillRect/>
                  </a:stretch>
                </pic:blipFill>
                <pic:spPr bwMode="auto">
                  <a:xfrm>
                    <a:off x="0" y="0"/>
                    <a:ext cx="714375" cy="876300"/>
                  </a:xfrm>
                  <a:prstGeom prst="rect">
                    <a:avLst/>
                  </a:prstGeom>
                  <a:noFill/>
                  <a:ln w="9525">
                    <a:noFill/>
                    <a:miter lim="800000"/>
                    <a:headEnd/>
                    <a:tailEnd/>
                  </a:ln>
                </pic:spPr>
              </pic:pic>
            </a:graphicData>
          </a:graphic>
        </wp:anchor>
      </w:drawing>
    </w:r>
    <w:r w:rsidR="00B40BE8" w:rsidRPr="00B40BE8">
      <w:rPr>
        <w:rFonts w:ascii="Arial" w:hAnsi="Arial" w:cs="Arial"/>
        <w:b/>
        <w:noProof/>
        <w:color w:val="548DD4"/>
        <w:sz w:val="40"/>
        <w:szCs w:val="40"/>
        <w:lang w:eastAsia="nl-NL"/>
      </w:rPr>
      <w:t>Toelichting uitgebreide sleutelverklaring – november 2022</w:t>
    </w:r>
    <w:r w:rsidR="00B40BE8">
      <w:rPr>
        <w:rFonts w:ascii="Arial" w:hAnsi="Arial" w:cs="Arial"/>
        <w:b/>
        <w:noProof/>
        <w:color w:val="548DD4"/>
        <w:sz w:val="40"/>
        <w:szCs w:val="40"/>
        <w:lang w:eastAsia="nl-NL"/>
      </w:rPr>
      <w:br/>
    </w:r>
    <w:r>
      <w:rPr>
        <w:rFonts w:ascii="Arial" w:hAnsi="Arial" w:cs="Arial"/>
        <w:b/>
        <w:noProof/>
        <w:color w:val="548DD4"/>
        <w:sz w:val="40"/>
        <w:szCs w:val="40"/>
      </w:rPr>
      <w:tab/>
    </w:r>
  </w:p>
  <w:p w14:paraId="660A7FA5" w14:textId="77777777" w:rsidR="004401D6" w:rsidRPr="00AF55FE" w:rsidRDefault="004401D6" w:rsidP="00AF55FE">
    <w:pPr>
      <w:tabs>
        <w:tab w:val="left" w:pos="6300"/>
      </w:tabs>
      <w:spacing w:before="0" w:beforeAutospacing="0" w:after="0" w:afterAutospacing="0"/>
      <w:rPr>
        <w:rFonts w:ascii="Arial" w:hAnsi="Arial" w:cs="Arial"/>
        <w:b/>
        <w:noProof/>
        <w:color w:val="548DD4"/>
        <w:sz w:val="40"/>
        <w:szCs w:val="40"/>
      </w:rPr>
    </w:pPr>
    <w:r w:rsidRPr="00CB7A4D">
      <w:rPr>
        <w:rFonts w:ascii="Arial" w:hAnsi="Arial" w:cs="Arial"/>
        <w:color w:val="4F81BD"/>
        <w:sz w:val="24"/>
        <w:szCs w:val="24"/>
      </w:rPr>
      <w:t>Juridische Dienst NVM</w:t>
    </w:r>
    <w:r w:rsidRPr="00CB7A4D">
      <w:rPr>
        <w:rFonts w:ascii="Arial" w:hAnsi="Arial" w:cs="Arial"/>
        <w:sz w:val="24"/>
        <w:szCs w:val="24"/>
      </w:rPr>
      <w:tab/>
    </w:r>
  </w:p>
  <w:p w14:paraId="3BCFC445" w14:textId="77777777" w:rsidR="004401D6" w:rsidRDefault="004401D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6049DE"/>
    <w:multiLevelType w:val="hybridMultilevel"/>
    <w:tmpl w:val="29F293AC"/>
    <w:lvl w:ilvl="0" w:tplc="F8FC7ADE">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5FE"/>
    <w:rsid w:val="00027282"/>
    <w:rsid w:val="000272FC"/>
    <w:rsid w:val="0004108B"/>
    <w:rsid w:val="0010537B"/>
    <w:rsid w:val="001316C2"/>
    <w:rsid w:val="001E00D8"/>
    <w:rsid w:val="001F164D"/>
    <w:rsid w:val="00206F1C"/>
    <w:rsid w:val="00216629"/>
    <w:rsid w:val="002357E1"/>
    <w:rsid w:val="002542F2"/>
    <w:rsid w:val="002B1F10"/>
    <w:rsid w:val="002D6DC0"/>
    <w:rsid w:val="00306085"/>
    <w:rsid w:val="00306C18"/>
    <w:rsid w:val="00375E37"/>
    <w:rsid w:val="00382060"/>
    <w:rsid w:val="004053AA"/>
    <w:rsid w:val="00436453"/>
    <w:rsid w:val="004401D6"/>
    <w:rsid w:val="004E38CF"/>
    <w:rsid w:val="004F0F2E"/>
    <w:rsid w:val="00574A2A"/>
    <w:rsid w:val="005C7AE2"/>
    <w:rsid w:val="005D569A"/>
    <w:rsid w:val="00611401"/>
    <w:rsid w:val="00633546"/>
    <w:rsid w:val="006932D3"/>
    <w:rsid w:val="006D5637"/>
    <w:rsid w:val="006E5BDC"/>
    <w:rsid w:val="00751B6B"/>
    <w:rsid w:val="00786C7B"/>
    <w:rsid w:val="007A4376"/>
    <w:rsid w:val="00805355"/>
    <w:rsid w:val="0080587B"/>
    <w:rsid w:val="00824980"/>
    <w:rsid w:val="0089447F"/>
    <w:rsid w:val="008A0347"/>
    <w:rsid w:val="008B52F5"/>
    <w:rsid w:val="008E157D"/>
    <w:rsid w:val="008F57DE"/>
    <w:rsid w:val="00953670"/>
    <w:rsid w:val="009B619A"/>
    <w:rsid w:val="009F3F8F"/>
    <w:rsid w:val="00A02D08"/>
    <w:rsid w:val="00A04341"/>
    <w:rsid w:val="00A11DF0"/>
    <w:rsid w:val="00AA6396"/>
    <w:rsid w:val="00AB4E6C"/>
    <w:rsid w:val="00AF269C"/>
    <w:rsid w:val="00AF55FE"/>
    <w:rsid w:val="00B40BE8"/>
    <w:rsid w:val="00B640C1"/>
    <w:rsid w:val="00BA1F1D"/>
    <w:rsid w:val="00BA251E"/>
    <w:rsid w:val="00C72446"/>
    <w:rsid w:val="00CD3863"/>
    <w:rsid w:val="00CF1871"/>
    <w:rsid w:val="00D47B84"/>
    <w:rsid w:val="00D633E3"/>
    <w:rsid w:val="00DA1349"/>
    <w:rsid w:val="00DB70F5"/>
    <w:rsid w:val="00DE62BA"/>
    <w:rsid w:val="00E2017C"/>
    <w:rsid w:val="00E40355"/>
    <w:rsid w:val="00E66352"/>
    <w:rsid w:val="00EB330A"/>
    <w:rsid w:val="00EC6E87"/>
    <w:rsid w:val="00EF2E7E"/>
    <w:rsid w:val="00F04508"/>
    <w:rsid w:val="00F053D4"/>
    <w:rsid w:val="00F06B89"/>
    <w:rsid w:val="00F10949"/>
    <w:rsid w:val="00F40AB6"/>
    <w:rsid w:val="00FC5DF7"/>
    <w:rsid w:val="00FC77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82FC8"/>
  <w15:docId w15:val="{63E5949A-5AE4-4FB0-8C50-8C61B1EDC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0537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F55FE"/>
    <w:pPr>
      <w:tabs>
        <w:tab w:val="center" w:pos="4536"/>
        <w:tab w:val="right" w:pos="9072"/>
      </w:tabs>
      <w:spacing w:before="0" w:after="0"/>
    </w:pPr>
  </w:style>
  <w:style w:type="character" w:customStyle="1" w:styleId="KoptekstChar">
    <w:name w:val="Koptekst Char"/>
    <w:basedOn w:val="Standaardalinea-lettertype"/>
    <w:link w:val="Koptekst"/>
    <w:uiPriority w:val="99"/>
    <w:rsid w:val="00AF55FE"/>
  </w:style>
  <w:style w:type="paragraph" w:styleId="Voettekst">
    <w:name w:val="footer"/>
    <w:basedOn w:val="Standaard"/>
    <w:link w:val="VoettekstChar"/>
    <w:uiPriority w:val="99"/>
    <w:unhideWhenUsed/>
    <w:rsid w:val="00AF55FE"/>
    <w:pPr>
      <w:tabs>
        <w:tab w:val="center" w:pos="4536"/>
        <w:tab w:val="right" w:pos="9072"/>
      </w:tabs>
      <w:spacing w:before="0" w:after="0"/>
    </w:pPr>
  </w:style>
  <w:style w:type="character" w:customStyle="1" w:styleId="VoettekstChar">
    <w:name w:val="Voettekst Char"/>
    <w:basedOn w:val="Standaardalinea-lettertype"/>
    <w:link w:val="Voettekst"/>
    <w:uiPriority w:val="99"/>
    <w:rsid w:val="00AF55FE"/>
  </w:style>
  <w:style w:type="paragraph" w:styleId="Ballontekst">
    <w:name w:val="Balloon Text"/>
    <w:basedOn w:val="Standaard"/>
    <w:link w:val="BallontekstChar"/>
    <w:uiPriority w:val="99"/>
    <w:semiHidden/>
    <w:unhideWhenUsed/>
    <w:rsid w:val="002D6DC0"/>
    <w:pPr>
      <w:spacing w:before="0"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6DC0"/>
    <w:rPr>
      <w:rFonts w:ascii="Tahoma" w:hAnsi="Tahoma" w:cs="Tahoma"/>
      <w:sz w:val="16"/>
      <w:szCs w:val="16"/>
    </w:rPr>
  </w:style>
  <w:style w:type="paragraph" w:styleId="Lijstalinea">
    <w:name w:val="List Paragraph"/>
    <w:basedOn w:val="Standaard"/>
    <w:uiPriority w:val="34"/>
    <w:qFormat/>
    <w:rsid w:val="004401D6"/>
    <w:pPr>
      <w:ind w:left="720"/>
      <w:contextualSpacing/>
    </w:pPr>
  </w:style>
  <w:style w:type="paragraph" w:styleId="Revisie">
    <w:name w:val="Revision"/>
    <w:hidden/>
    <w:uiPriority w:val="99"/>
    <w:semiHidden/>
    <w:rsid w:val="00E2017C"/>
    <w:pPr>
      <w:spacing w:before="0" w:beforeAutospacing="0" w:after="0" w:afterAutospacing="0"/>
    </w:pPr>
  </w:style>
  <w:style w:type="character" w:customStyle="1" w:styleId="fontstyle01">
    <w:name w:val="fontstyle01"/>
    <w:basedOn w:val="Standaardalinea-lettertype"/>
    <w:rsid w:val="00F40AB6"/>
    <w:rPr>
      <w:rFonts w:ascii="Univers" w:hAnsi="Univers" w:hint="default"/>
      <w:b w:val="0"/>
      <w:bCs w:val="0"/>
      <w:i w:val="0"/>
      <w:iCs w:val="0"/>
      <w:color w:val="231F20"/>
      <w:sz w:val="18"/>
      <w:szCs w:val="18"/>
    </w:rPr>
  </w:style>
  <w:style w:type="paragraph" w:styleId="Voetnoottekst">
    <w:name w:val="footnote text"/>
    <w:basedOn w:val="Standaard"/>
    <w:link w:val="VoetnoottekstChar"/>
    <w:uiPriority w:val="99"/>
    <w:semiHidden/>
    <w:unhideWhenUsed/>
    <w:rsid w:val="004E38CF"/>
    <w:pPr>
      <w:spacing w:before="0" w:after="0"/>
    </w:pPr>
    <w:rPr>
      <w:sz w:val="20"/>
      <w:szCs w:val="20"/>
    </w:rPr>
  </w:style>
  <w:style w:type="character" w:customStyle="1" w:styleId="VoetnoottekstChar">
    <w:name w:val="Voetnoottekst Char"/>
    <w:basedOn w:val="Standaardalinea-lettertype"/>
    <w:link w:val="Voetnoottekst"/>
    <w:uiPriority w:val="99"/>
    <w:semiHidden/>
    <w:rsid w:val="004E38CF"/>
    <w:rPr>
      <w:sz w:val="20"/>
      <w:szCs w:val="20"/>
    </w:rPr>
  </w:style>
  <w:style w:type="character" w:styleId="Voetnootmarkering">
    <w:name w:val="footnote reference"/>
    <w:basedOn w:val="Standaardalinea-lettertype"/>
    <w:uiPriority w:val="99"/>
    <w:semiHidden/>
    <w:unhideWhenUsed/>
    <w:rsid w:val="004E38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cid:image001.gif@01CB97C0.41B1FDD0"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925F6-813B-4C0A-9B50-826394BB9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5820</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kerssebooma</dc:creator>
  <cp:keywords/>
  <dc:description/>
  <cp:lastModifiedBy>Magdelyns, Frank</cp:lastModifiedBy>
  <cp:revision>2</cp:revision>
  <cp:lastPrinted>2019-05-23T12:21:00Z</cp:lastPrinted>
  <dcterms:created xsi:type="dcterms:W3CDTF">2022-12-01T08:29:00Z</dcterms:created>
  <dcterms:modified xsi:type="dcterms:W3CDTF">2022-12-01T08:29:00Z</dcterms:modified>
</cp:coreProperties>
</file>